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overflowPunct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20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22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eastAsia="zh-CN"/>
        </w:rPr>
        <w:t>中央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财政以工代赈</w:t>
      </w:r>
      <w:bookmarkStart w:id="1" w:name="_GoBack"/>
      <w:bookmarkEnd w:id="1"/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eastAsia="zh-CN"/>
        </w:rPr>
        <w:t>任务建议计划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申报指南</w:t>
      </w:r>
    </w:p>
    <w:p>
      <w:pPr>
        <w:widowControl w:val="0"/>
        <w:wordWrap/>
        <w:overflowPunct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ascii="Times New Roman" w:hAnsi="Times New Roman" w:eastAsia="方正仿宋_GBK" w:cs="Times New Roman"/>
          <w:color w:val="auto"/>
          <w:sz w:val="30"/>
          <w:szCs w:val="30"/>
        </w:rPr>
      </w:pPr>
    </w:p>
    <w:p>
      <w:pPr>
        <w:widowControl w:val="0"/>
        <w:wordWrap/>
        <w:overflowPunct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0"/>
          <w:szCs w:val="30"/>
          <w:lang/>
        </w:rPr>
        <w:t>一、</w:t>
      </w:r>
      <w:r>
        <w:rPr>
          <w:rFonts w:hint="eastAsia" w:ascii="Times New Roman" w:hAnsi="Times New Roman" w:eastAsia="方正黑体_GBK" w:cs="方正黑体_GBK"/>
          <w:color w:val="auto"/>
          <w:sz w:val="30"/>
          <w:szCs w:val="30"/>
          <w:lang w:val="en-US" w:eastAsia="zh-CN"/>
        </w:rPr>
        <w:t>支持范围和重点</w:t>
      </w:r>
    </w:p>
    <w:p>
      <w:pPr>
        <w:widowControl w:val="0"/>
        <w:wordWrap/>
        <w:overflowPunct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 w:val="30"/>
          <w:szCs w:val="30"/>
          <w:lang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</w:rPr>
        <w:t>（一）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  <w:lang w:eastAsia="zh-CN"/>
        </w:rPr>
        <w:t>支持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</w:rPr>
        <w:t>范围。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0"/>
          <w:szCs w:val="30"/>
          <w:lang/>
        </w:rPr>
        <w:t>重点支持已脱贫的23个原省级扶贫开发工作重点县，“十三五”期间易地扶贫搬迁任务超过1000人、巩固拓展脱贫攻坚成果任务较重的县（市、区）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0"/>
          <w:szCs w:val="30"/>
          <w:lang w:eastAsia="zh-CN"/>
        </w:rPr>
        <w:t>，受疫情灾情影响较大地区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0"/>
          <w:szCs w:val="30"/>
          <w:lang/>
        </w:rPr>
        <w:t>。</w:t>
      </w:r>
    </w:p>
    <w:p>
      <w:pPr>
        <w:overflowPunct w:val="0"/>
        <w:adjustRightInd w:val="0"/>
        <w:snapToGrid w:val="0"/>
        <w:spacing w:line="560" w:lineRule="exact"/>
        <w:ind w:firstLine="600" w:firstLineChars="200"/>
        <w:outlineLvl w:val="9"/>
        <w:rPr>
          <w:rFonts w:hint="eastAsia" w:ascii="Times New Roman" w:hAnsi="Times New Roman" w:eastAsia="方正仿宋_GBK" w:cs="方正仿宋_GBK"/>
          <w:color w:val="auto"/>
          <w:sz w:val="30"/>
          <w:szCs w:val="30"/>
          <w:lang/>
        </w:rPr>
      </w:pP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lang/>
        </w:rPr>
        <w:t>具体范围包括：龙岩市的长汀县、连城县、武平县、漳平市、永定区、新罗区，三明市的宁化县、建宁县、清流县、泰宁县、明溪县、尤溪县、大田县，南平市的政和县、松溪县、顺昌县、浦城县、光泽县、延平区，漳州市的平和县、诏安县、云霄县，宁德市的屏南县、周宁县、柘荣县、寿宁县、霞浦县、古田县、福安市，福州市的永泰县，泉州市的安溪县。</w:t>
      </w:r>
    </w:p>
    <w:p>
      <w:pPr>
        <w:widowControl w:val="0"/>
        <w:wordWrap/>
        <w:overflowPunct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</w:rPr>
        <w:t>（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  <w:lang w:eastAsia="zh-CN"/>
        </w:rPr>
        <w:t>二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</w:rPr>
        <w:t>）受益对象。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当地</w:t>
      </w:r>
      <w:r>
        <w:rPr>
          <w:rFonts w:hint="eastAsia" w:ascii="Times New Roman" w:hAnsi="Times New Roman" w:eastAsia="方正仿宋_GBK" w:cs="方正仿宋_GBK"/>
          <w:sz w:val="30"/>
          <w:szCs w:val="30"/>
          <w:highlight w:val="none"/>
        </w:rPr>
        <w:t>农村劳动力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，重点是脱贫人口、易返贫致贫监测对象和其他低收入人口</w:t>
      </w:r>
      <w:r>
        <w:rPr>
          <w:rFonts w:hint="eastAsia" w:ascii="Times New Roman" w:hAnsi="Times New Roman" w:eastAsia="方正仿宋_GBK" w:cs="方正仿宋_GBK"/>
          <w:sz w:val="30"/>
          <w:szCs w:val="30"/>
          <w:lang/>
        </w:rPr>
        <w:t>。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大力</w:t>
      </w:r>
      <w:r>
        <w:rPr>
          <w:rFonts w:hint="eastAsia" w:ascii="Times New Roman" w:hAnsi="Times New Roman" w:eastAsia="方正仿宋_GBK" w:cs="方正仿宋_GBK"/>
          <w:sz w:val="30"/>
          <w:szCs w:val="30"/>
          <w:lang/>
        </w:rPr>
        <w:t>组织易地搬迁脱贫群众和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因疫</w:t>
      </w:r>
      <w:r>
        <w:rPr>
          <w:rFonts w:hint="eastAsia" w:ascii="Times New Roman" w:hAnsi="Times New Roman" w:eastAsia="方正仿宋_GBK" w:cs="方正仿宋_GBK"/>
          <w:sz w:val="30"/>
          <w:szCs w:val="30"/>
          <w:lang/>
        </w:rPr>
        <w:t>因灾滞留农村的劳动力参与工程项目建设。</w:t>
      </w:r>
    </w:p>
    <w:p>
      <w:pPr>
        <w:pStyle w:val="3"/>
        <w:widowControl w:val="0"/>
        <w:wordWrap/>
        <w:spacing w:line="560" w:lineRule="exact"/>
        <w:ind w:firstLine="594"/>
        <w:textAlignment w:val="auto"/>
        <w:rPr>
          <w:rFonts w:hint="eastAsia" w:ascii="Times New Roman" w:hAnsi="Times New Roman" w:cs="方正仿宋_GBK"/>
          <w:w w:val="100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</w:rPr>
        <w:t>（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  <w:lang w:eastAsia="zh-CN"/>
        </w:rPr>
        <w:t>三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</w:rPr>
        <w:t>）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  <w:lang w:eastAsia="zh-CN"/>
        </w:rPr>
        <w:t>项目投向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</w:rPr>
        <w:t>。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包括《全国“十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五”以工代赈工作方案》已明确的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农村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小型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公益性基础设施和产业发展配套设施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其中，</w:t>
      </w:r>
      <w:r>
        <w:rPr>
          <w:rFonts w:hint="eastAsia" w:ascii="Times New Roman" w:hAnsi="Times New Roman" w:cs="方正仿宋_GBK"/>
          <w:b/>
          <w:bCs/>
          <w:kern w:val="2"/>
          <w:sz w:val="30"/>
          <w:szCs w:val="30"/>
          <w:lang w:val="en-US" w:eastAsia="zh-CN"/>
        </w:rPr>
        <w:t>农村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0"/>
          <w:szCs w:val="30"/>
          <w:lang w:val="en-US" w:eastAsia="zh-CN"/>
        </w:rPr>
        <w:t>小型</w:t>
      </w:r>
      <w:r>
        <w:rPr>
          <w:rFonts w:hint="eastAsia" w:ascii="Times New Roman" w:hAnsi="Times New Roman" w:cs="方正仿宋_GBK"/>
          <w:b/>
          <w:bCs/>
          <w:kern w:val="2"/>
          <w:sz w:val="30"/>
          <w:szCs w:val="30"/>
          <w:lang w:val="en-US" w:eastAsia="zh-CN"/>
        </w:rPr>
        <w:t>公益性基础设施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小型农村生活基础设施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农村交通基础设施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农村水利基础设施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林业公益性基础设施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等，特别是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易地搬迁安置点配套公益性基础设施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0"/>
          <w:szCs w:val="30"/>
          <w:lang w:val="en-US" w:eastAsia="zh-CN"/>
        </w:rPr>
        <w:t>农村小型产业发展配套基础设施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/>
        </w:rPr>
        <w:t>小型</w:t>
      </w:r>
      <w:r>
        <w:rPr>
          <w:rFonts w:hint="eastAsia" w:ascii="Times New Roman" w:hAnsi="Times New Roman" w:cs="方正仿宋_GBK"/>
          <w:kern w:val="2"/>
          <w:sz w:val="30"/>
          <w:szCs w:val="30"/>
          <w:lang w:val="en-US" w:eastAsia="zh-CN"/>
        </w:rPr>
        <w:t>农牧产业基础设施、文化旅游产业基础设施</w:t>
      </w:r>
      <w:r>
        <w:rPr>
          <w:rFonts w:hint="eastAsia" w:ascii="Times New Roman" w:hAnsi="Times New Roman" w:cs="方正仿宋_GBK"/>
          <w:w w:val="100"/>
          <w:kern w:val="2"/>
          <w:sz w:val="30"/>
          <w:szCs w:val="30"/>
          <w:lang w:val="en-US" w:eastAsia="zh-CN"/>
        </w:rPr>
        <w:t>、林业产业基础设施等，特别是易地搬迁安置点后续产业基础设施。</w:t>
      </w:r>
    </w:p>
    <w:p>
      <w:pPr>
        <w:pStyle w:val="3"/>
        <w:spacing w:line="560" w:lineRule="exact"/>
        <w:ind w:firstLine="594"/>
        <w:rPr>
          <w:rFonts w:hint="eastAsia" w:ascii="Times New Roman" w:hAnsi="Times New Roman" w:cs="方正仿宋_GBK"/>
          <w:kern w:val="2"/>
          <w:szCs w:val="30"/>
          <w:lang w:val="en-US" w:eastAsia="zh-CN"/>
        </w:rPr>
      </w:pPr>
      <w:r>
        <w:rPr>
          <w:rFonts w:hint="eastAsia" w:ascii="Times New Roman" w:hAnsi="Times New Roman" w:cs="方正仿宋_GBK"/>
          <w:kern w:val="2"/>
          <w:szCs w:val="30"/>
          <w:lang w:val="en-US" w:eastAsia="zh-CN"/>
        </w:rPr>
        <w:t>对于农村中小型公益性基础设施项目，以工代赈中央资金不得用于建设垃圾回收站、污水处理站、生态护林房等主体建筑物，也不得用于购买花草、树木、路灯、垃圾桶等资产。对于农村产业发展配套基础设施项目，以工代赈中央资金不得用于建设楼堂馆所等主体建筑物，也不得用于购买交通工具、大中型机械设备、滴灌管网、种苗仔畜及饲料、化肥等生产性物资。</w:t>
      </w:r>
    </w:p>
    <w:p>
      <w:pPr>
        <w:widowControl w:val="0"/>
        <w:wordWrap/>
        <w:overflowPunct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楷体_GBK" w:cs="方正楷体_GBK"/>
          <w:color w:val="auto"/>
          <w:sz w:val="30"/>
          <w:szCs w:val="30"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kern w:val="2"/>
          <w:sz w:val="30"/>
          <w:szCs w:val="30"/>
          <w:lang w:val="en-US" w:eastAsia="zh-CN"/>
        </w:rPr>
        <w:t>（四）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0"/>
          <w:szCs w:val="30"/>
        </w:rPr>
        <w:t>投资标准。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为更好发挥中央财政以工代赈任务资金的引导带动作用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</w:rPr>
        <w:t>单个项目申请中央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</w:rPr>
        <w:t>额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0"/>
          <w:szCs w:val="30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</w:rPr>
        <w:t>原则上不低于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</w:rPr>
        <w:t>00万元、不高于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</w:rPr>
        <w:t>00万元，其中发放的劳务报酬应不得低于中央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</w:rPr>
        <w:t>的15%，并在此基础上进一步提高占比。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  <w:t>对于劳务报酬发放比例高的项目，优先纳入建议计划予以支持。</w:t>
      </w:r>
    </w:p>
    <w:p>
      <w:pPr>
        <w:widowControl w:val="0"/>
        <w:wordWrap/>
        <w:overflowPunct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eastAsia="方正黑体_GBK" w:cs="方正黑体_GBK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0"/>
          <w:szCs w:val="30"/>
          <w:lang w:val="en-US" w:eastAsia="zh-CN"/>
        </w:rPr>
        <w:t>二、报送材料</w:t>
      </w:r>
    </w:p>
    <w:p>
      <w:pPr>
        <w:widowControl w:val="0"/>
        <w:wordWrap/>
        <w:overflowPunct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0"/>
          <w:szCs w:val="30"/>
          <w:lang w:eastAsia="zh-CN"/>
        </w:rPr>
        <w:t>项目可研报告，以及所有审批文件（包括但不限于可研审批、用地预审、选址意见、工程规划许可、环评、稳评等）的扫描件。同时，需对所提交的资金申请文件所有内容的真实性作出承诺。</w:t>
      </w:r>
    </w:p>
    <w:p>
      <w:pPr>
        <w:widowControl w:val="0"/>
        <w:wordWrap/>
        <w:overflowPunct w:val="0"/>
        <w:adjustRightInd w:val="0"/>
        <w:snapToGrid w:val="0"/>
        <w:spacing w:line="56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overflowPunct w:val="0"/>
        <w:adjustRightInd w:val="0"/>
        <w:snapToGrid w:val="0"/>
        <w:spacing w:line="560" w:lineRule="exact"/>
        <w:ind w:left="1548" w:leftChars="280" w:hanging="960" w:hangingChars="32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  <w:t>附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  <w:t>件：1.202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中央财政以工代赈任务建议计划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0"/>
          <w:szCs w:val="30"/>
          <w:lang w:eastAsia="zh-CN"/>
        </w:rPr>
        <w:t>参考提纲</w:t>
      </w:r>
    </w:p>
    <w:p>
      <w:pPr>
        <w:widowControl w:val="0"/>
        <w:numPr>
          <w:numId w:val="0"/>
        </w:numPr>
        <w:wordWrap/>
        <w:overflowPunct w:val="0"/>
        <w:adjustRightInd w:val="0"/>
        <w:snapToGrid w:val="0"/>
        <w:spacing w:line="560" w:lineRule="exact"/>
        <w:ind w:left="2085" w:leftChars="850" w:hanging="300" w:hangingChars="1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XX市202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年中央财政以工代赈补助资金申报项目汇总表</w:t>
      </w:r>
    </w:p>
    <w:p>
      <w:pPr>
        <w:widowControl w:val="0"/>
        <w:numPr>
          <w:numId w:val="0"/>
        </w:numPr>
        <w:wordWrap/>
        <w:overflowPunct w:val="0"/>
        <w:adjustRightInd w:val="0"/>
        <w:snapToGrid w:val="0"/>
        <w:spacing w:line="560" w:lineRule="exact"/>
        <w:ind w:left="1548" w:leftChars="280" w:hanging="960" w:hangingChars="32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</w:pPr>
    </w:p>
    <w:p>
      <w:pPr>
        <w:widowControl w:val="0"/>
        <w:wordWrap/>
        <w:overflowPunct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  <w:t xml:space="preserve">                       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</w:pPr>
      <w:bookmarkStart w:id="0" w:name="_Hlk531933678"/>
    </w:p>
    <w:p>
      <w:pPr>
        <w:widowControl w:val="0"/>
        <w:wordWrap/>
        <w:overflowPunct w:val="0"/>
        <w:adjustRightInd w:val="0"/>
        <w:snapToGrid w:val="0"/>
        <w:spacing w:line="540" w:lineRule="exact"/>
        <w:ind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overflowPunct w:val="0"/>
        <w:adjustRightInd w:val="0"/>
        <w:snapToGrid w:val="0"/>
        <w:spacing w:line="540" w:lineRule="exact"/>
        <w:ind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overflowPunct w:val="0"/>
        <w:adjustRightInd w:val="0"/>
        <w:snapToGrid w:val="0"/>
        <w:spacing w:line="540" w:lineRule="exact"/>
        <w:ind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1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leftChars="0" w:firstLine="60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overflowPunct w:val="0"/>
        <w:adjustRightInd w:val="0"/>
        <w:snapToGrid w:val="0"/>
        <w:spacing w:line="540" w:lineRule="exact"/>
        <w:ind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2022年中央财政以工代赈任务建议计划参考提纲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leftChars="0" w:firstLine="60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</w:pP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一、总体思路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包括工作思路和主要目标等。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0"/>
          <w:szCs w:val="30"/>
          <w:lang w:val="en-US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二、建设内容和资金需求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（一）拟安排本市的实施范围、建设领域、受益对象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（二）主要建设内容汇总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黑体"/>
          <w:sz w:val="30"/>
          <w:szCs w:val="30"/>
          <w:lang w:val="en-US" w:eastAsia="zh-CN"/>
        </w:rPr>
        <w:t>如，</w:t>
      </w:r>
      <w:r>
        <w:rPr>
          <w:rFonts w:hint="eastAsia" w:ascii="Times New Roman" w:hAnsi="Times New Roman" w:eastAsia="方正仿宋_GBK" w:cs="黑体"/>
          <w:kern w:val="2"/>
          <w:sz w:val="30"/>
          <w:szCs w:val="30"/>
          <w:lang w:val="en-US" w:eastAsia="zh-CN" w:bidi="ar-SA"/>
        </w:rPr>
        <w:t>新建（改扩建）道路XX公里，新建桥梁XX座，新建（改建）渠道XX公里，新建（改建）河堤XX公里，土地整理XX亩等。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（三）资金需求及筹措渠道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含中央、省、市、县各级投入和其他资金等。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三、“赈”的作用发挥情况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包括预计带动群众务工人数、发放劳务报酬金额，计划开展就业技能培训、公益性岗位设置、资产折股量化分红等情况，特别是</w:t>
      </w:r>
      <w:r>
        <w:rPr>
          <w:rFonts w:hint="eastAsia" w:ascii="Times New Roman" w:hAnsi="Times New Roman" w:eastAsia="方正仿宋_GBK"/>
          <w:w w:val="96"/>
          <w:sz w:val="30"/>
          <w:szCs w:val="30"/>
          <w:lang w:val="en-US" w:eastAsia="zh-CN"/>
        </w:rPr>
        <w:t>计划辐射易地扶贫搬迁安置点、带动易地搬迁脱贫群众就业增收情况。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四、前置性审查工作开展情况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分别包含市、县组织开展前置性审查情况及结果。</w:t>
      </w:r>
      <w:r>
        <w:rPr>
          <w:rFonts w:hint="eastAsia" w:eastAsia="方正仿宋_GBK" w:cs="方正仿宋_GBK"/>
          <w:sz w:val="30"/>
          <w:szCs w:val="30"/>
        </w:rPr>
        <w:t>重点</w:t>
      </w:r>
      <w:r>
        <w:rPr>
          <w:rFonts w:hint="eastAsia" w:eastAsia="方正仿宋_GBK" w:cs="方正仿宋_GBK"/>
          <w:sz w:val="30"/>
          <w:szCs w:val="30"/>
          <w:lang w:eastAsia="zh-CN"/>
        </w:rPr>
        <w:t>包括“赈”的作用要求落实情况、项目前期手续完备情况、资金投向范围合规情况等内容</w:t>
      </w:r>
      <w:r>
        <w:rPr>
          <w:rFonts w:hint="eastAsia" w:eastAsia="方正仿宋_GBK" w:cs="方正仿宋_GBK"/>
          <w:sz w:val="30"/>
          <w:szCs w:val="30"/>
        </w:rPr>
        <w:t>。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五、其他</w:t>
      </w:r>
    </w:p>
    <w:p>
      <w:pPr>
        <w:widowControl w:val="0"/>
        <w:wordWrap/>
        <w:overflowPunct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其他需补充内容。</w:t>
      </w:r>
      <w:bookmarkEnd w:id="0"/>
    </w:p>
    <w:sectPr>
      <w:footerReference r:id="rId4" w:type="default"/>
      <w:pgSz w:w="11906" w:h="16838"/>
      <w:pgMar w:top="1984" w:right="1616" w:bottom="1814" w:left="1616" w:header="851" w:footer="992" w:gutter="0"/>
      <w:cols w:space="720" w:num="1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trackRevisions w:val="1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pPr>
      <w:overflowPunct w:val="0"/>
      <w:adjustRightInd w:val="0"/>
      <w:snapToGrid w:val="0"/>
      <w:spacing w:beforeAutospacing="0" w:afterAutospacing="0" w:line="588" w:lineRule="exact"/>
      <w:ind w:firstLine="792" w:firstLineChars="200"/>
      <w:outlineLvl w:val="2"/>
    </w:pPr>
    <w:rPr>
      <w:rFonts w:eastAsia="方正仿宋_GBK"/>
      <w:kern w:val="0"/>
      <w:sz w:val="30"/>
      <w:szCs w:val="20"/>
    </w:rPr>
  </w:style>
  <w:style w:type="paragraph" w:styleId="4">
    <w:name w:val="heading 4"/>
    <w:basedOn w:val="1"/>
    <w:next w:val="1"/>
    <w:link w:val="5"/>
    <w:pPr>
      <w:overflowPunct w:val="0"/>
      <w:adjustRightInd w:val="0"/>
      <w:snapToGrid w:val="0"/>
      <w:spacing w:beforeAutospacing="0" w:afterAutospacing="0" w:line="588" w:lineRule="exact"/>
      <w:ind w:firstLine="792" w:firstLineChars="200"/>
      <w:outlineLvl w:val="3"/>
    </w:pPr>
    <w:rPr>
      <w:rFonts w:eastAsia="方正仿宋_GBK"/>
      <w:kern w:val="0"/>
      <w:sz w:val="30"/>
      <w:szCs w:val="20"/>
    </w:rPr>
  </w:style>
  <w:style w:type="character" w:default="1" w:styleId="10">
    <w:name w:val="Default Paragraph Font"/>
  </w:style>
  <w:style w:type="paragraph" w:styleId="2">
    <w:name w:val="批注框文本"/>
    <w:basedOn w:val="1"/>
    <w:link w:val="9"/>
    <w:rPr>
      <w:sz w:val="18"/>
      <w:szCs w:val="18"/>
    </w:rPr>
  </w:style>
  <w:style w:type="character" w:customStyle="1" w:styleId="5">
    <w:name w:val="标题 4 Char"/>
    <w:link w:val="4"/>
    <w:semiHidden/>
    <w:rPr>
      <w:rFonts w:eastAsia="方正仿宋_GBK"/>
      <w:kern w:val="0"/>
      <w:sz w:val="30"/>
      <w:szCs w:val="20"/>
    </w:rPr>
  </w:style>
  <w:style w:type="paragraph" w:styleId="6">
    <w:name w:val="Body Text"/>
    <w:basedOn w:val="1"/>
    <w:next w:val="7"/>
    <w:pPr>
      <w:spacing w:after="120"/>
    </w:pPr>
  </w:style>
  <w:style w:type="paragraph" w:customStyle="1" w:styleId="7">
    <w:name w:val="Body Text First Indent"/>
    <w:basedOn w:val="6"/>
    <w:next w:val="8"/>
    <w:pPr>
      <w:widowControl w:val="0"/>
      <w:spacing w:after="0"/>
      <w:ind w:firstLine="42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8">
    <w:name w:val="index 5"/>
    <w:basedOn w:val="1"/>
    <w:next w:val="1"/>
    <w:pPr>
      <w:ind w:left="1680"/>
    </w:pPr>
  </w:style>
  <w:style w:type="character" w:customStyle="1" w:styleId="9">
    <w:name w:val="批注框文本 Char"/>
    <w:basedOn w:val="10"/>
    <w:link w:val="2"/>
    <w:semiHidden/>
    <w:rPr>
      <w:sz w:val="18"/>
      <w:szCs w:val="18"/>
    </w:rPr>
  </w:style>
  <w:style w:type="paragraph" w:styleId="11">
    <w:name w:val="footer"/>
    <w:basedOn w:val="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10"/>
    <w:link w:val="11"/>
    <w:semiHidden/>
    <w:rPr>
      <w:sz w:val="18"/>
      <w:szCs w:val="18"/>
    </w:rPr>
  </w:style>
  <w:style w:type="paragraph" w:styleId="13">
    <w:name w:val="header"/>
    <w:basedOn w:val="1"/>
    <w:link w:val="14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10"/>
    <w:link w:val="13"/>
    <w:semiHidden/>
    <w:rPr>
      <w:sz w:val="18"/>
      <w:szCs w:val="18"/>
    </w:rPr>
  </w:style>
  <w:style w:type="paragraph" w:customStyle="1" w:styleId="15">
    <w:name w:val="正文文字"/>
    <w:basedOn w:val="1"/>
    <w:next w:val="1"/>
    <w:pPr>
      <w:spacing w:after="120"/>
    </w:pPr>
  </w:style>
  <w:style w:type="paragraph" w:customStyle="1" w:styleId="16">
    <w:name w:val="Normal (Web)"/>
    <w:basedOn w:val="1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20170828-</Template>
  <Company>Lenovo</Company>
  <Pages>5</Pages>
  <Words>2274</Words>
  <Characters>2353</Characters>
  <Lines>1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2018-10-12T09:24:00Z</dcterms:created>
  <dc:creator>张幸福</dc:creator>
  <cp:lastPrinted>2021-09-08T16:39:00Z</cp:lastPrinted>
  <dcterms:modified xsi:type="dcterms:W3CDTF">2022-06-16T18:15:05Z</dcterms:modified>
  <dc:title>郭玉锟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A448F7BE66D742D89EED5A62972B214B</vt:lpwstr>
  </property>
</Properties>
</file>