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三明市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粮食和物资储备局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关于2022年度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粮食储备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专项资金公开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根据《三明市人民政府办公室关于加强财政专项资金信息公开工作的通知》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明政办发明电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粮食储备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专项资金基本信息公开如下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专项资金名称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：粮食储备专项经费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三明市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粮食和物资储备局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三、年度预算安排情况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四、项目概况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：粮食储备专项资金是由市本级财政预算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安排专项用于建立市本级粮食风险基金、储备订单粮食直接补贴、粮食流通产业发展等方面的资金。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五、项目总体目标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12月前通过公开拍卖拍买完成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33572</w:t>
      </w:r>
      <w:r>
        <w:rPr>
          <w:rFonts w:hint="eastAsia" w:ascii="仿宋_GB2312" w:hAnsi="仿宋_GB2312" w:eastAsia="仿宋_GB2312" w:cs="仿宋_GB2312"/>
          <w:sz w:val="32"/>
          <w:szCs w:val="32"/>
        </w:rPr>
        <w:t>吨储备粮食轮换，保障储备粮食质量。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项目立项依据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福建省财政厅福建省粮食局中国农业发展银行福建省分行关于印发 《 福建省粮食风险基金管理办法 》 的通知（闽财建〔2016〕67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三明市财政局三明市粮食局《关于市本级储备粮油保管、轮换费用及订单粮食直补资金的批复》（明财建〔2016〕72号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）等文件执行。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七、专项资金管理办法（详见附件：《福建省省级粮食安全专项管理办法》《三明市粮食专项资金管理办法》）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6C118B0-1672-473A-A445-7EE270F442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4CF7612-34C1-4296-BE2F-9BF67AC063E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083B95A-6A45-4778-848D-F4B9834BC6A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3DDF7"/>
    <w:multiLevelType w:val="singleLevel"/>
    <w:tmpl w:val="49F3DD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NjJhNWU1MTc0ZDM2MDI2ZTQ3YTdjMTY0ZTMwNTEifQ=="/>
  </w:docVars>
  <w:rsids>
    <w:rsidRoot w:val="7C771A0A"/>
    <w:rsid w:val="7C7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2022-10-28T01:45:00Z</dcterms:created>
  <dc:creator>09州</dc:creator>
  <cp:lastModifiedBy>09州</cp:lastModifiedBy>
  <dcterms:modified xsi:type="dcterms:W3CDTF">2022-10-28T02:33:37Z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28FEF5BF16504981B3985DC876CAB36C</vt:lpwstr>
  </property>
</Properties>
</file>