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hint="eastAsia" w:ascii="宋体" w:hAnsi="宋体" w:eastAsia="宋体" w:cs="宋体"/>
          <w:color w:val="000000" w:themeColor="text1"/>
          <w:sz w:val="24"/>
          <w:szCs w:val="24"/>
          <w:highlight w:val="none"/>
          <w14:textFill>
            <w14:solidFill>
              <w14:schemeClr w14:val="tx1"/>
            </w14:solidFill>
          </w14:textFill>
        </w:rPr>
      </w:pPr>
    </w:p>
    <w:p>
      <w:pPr>
        <w:pStyle w:val="14"/>
        <w:rPr>
          <w:rFonts w:hint="eastAsia" w:ascii="宋体" w:hAnsi="宋体" w:eastAsia="宋体" w:cs="宋体"/>
          <w:color w:val="000000" w:themeColor="text1"/>
          <w:sz w:val="24"/>
          <w:szCs w:val="24"/>
          <w:highlight w:val="none"/>
          <w14:textFill>
            <w14:solidFill>
              <w14:schemeClr w14:val="tx1"/>
            </w14:solidFill>
          </w14:textFill>
        </w:rPr>
      </w:pPr>
    </w:p>
    <w:p>
      <w:pPr>
        <w:pStyle w:val="14"/>
        <w:jc w:val="center"/>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72"/>
          <w:szCs w:val="72"/>
          <w:highlight w:val="none"/>
          <w14:textFill>
            <w14:solidFill>
              <w14:schemeClr w14:val="tx1"/>
            </w14:solidFill>
          </w14:textFill>
        </w:rPr>
        <w:t>福建省政府采购货物和服务项目公开招标文件</w:t>
      </w: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spacing w:line="360" w:lineRule="auto"/>
        <w:jc w:val="center"/>
        <w:outlineLvl w:val="2"/>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项目名称：</w:t>
      </w:r>
      <w:bookmarkStart w:id="0" w:name="_GoBack"/>
      <w:r>
        <w:rPr>
          <w:rFonts w:hint="eastAsia" w:ascii="宋体" w:hAnsi="宋体" w:eastAsia="宋体" w:cs="宋体"/>
          <w:b/>
          <w:color w:val="000000" w:themeColor="text1"/>
          <w:sz w:val="32"/>
          <w:szCs w:val="32"/>
          <w:highlight w:val="none"/>
          <w:lang w:eastAsia="zh-CN"/>
          <w14:textFill>
            <w14:solidFill>
              <w14:schemeClr w14:val="tx1"/>
            </w14:solidFill>
          </w14:textFill>
        </w:rPr>
        <w:t>三明市粮食购销领域监管信息化项目建设</w:t>
      </w:r>
      <w:bookmarkEnd w:id="0"/>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备案编号：TZFQXM-2023--350401-00074[2023]00791</w:t>
      </w: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项目编号：[350401]FJKJ[GK]2023003</w:t>
      </w: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p>
    <w:p>
      <w:pPr>
        <w:pStyle w:val="14"/>
        <w:jc w:val="center"/>
        <w:outlineLvl w:val="2"/>
        <w:rPr>
          <w:rFonts w:hint="eastAsia" w:ascii="宋体" w:hAnsi="宋体" w:eastAsia="宋体" w:cs="宋体"/>
          <w:b/>
          <w:color w:val="000000" w:themeColor="text1"/>
          <w:sz w:val="32"/>
          <w:szCs w:val="32"/>
          <w:highlight w:val="none"/>
          <w14:textFill>
            <w14:solidFill>
              <w14:schemeClr w14:val="tx1"/>
            </w14:solidFill>
          </w14:textFill>
        </w:rPr>
      </w:pPr>
    </w:p>
    <w:p>
      <w:pPr>
        <w:pStyle w:val="14"/>
        <w:jc w:val="center"/>
        <w:outlineLvl w:val="2"/>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采购人：</w:t>
      </w:r>
      <w:r>
        <w:rPr>
          <w:rFonts w:hint="eastAsia" w:ascii="宋体" w:hAnsi="宋体" w:eastAsia="宋体" w:cs="宋体"/>
          <w:b/>
          <w:color w:val="000000" w:themeColor="text1"/>
          <w:sz w:val="32"/>
          <w:szCs w:val="32"/>
          <w:highlight w:val="none"/>
          <w:lang w:eastAsia="zh-CN"/>
          <w14:textFill>
            <w14:solidFill>
              <w14:schemeClr w14:val="tx1"/>
            </w14:solidFill>
          </w14:textFill>
        </w:rPr>
        <w:t>三明市粮食和物资储备局</w:t>
      </w:r>
    </w:p>
    <w:p>
      <w:pPr>
        <w:pStyle w:val="14"/>
        <w:jc w:val="center"/>
        <w:outlineLvl w:val="2"/>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代理机构：</w:t>
      </w:r>
      <w:r>
        <w:rPr>
          <w:rFonts w:hint="eastAsia" w:ascii="宋体" w:hAnsi="宋体" w:eastAsia="宋体" w:cs="宋体"/>
          <w:b/>
          <w:color w:val="000000" w:themeColor="text1"/>
          <w:sz w:val="32"/>
          <w:szCs w:val="32"/>
          <w:highlight w:val="none"/>
          <w:lang w:eastAsia="zh-CN"/>
          <w14:textFill>
            <w14:solidFill>
              <w14:schemeClr w14:val="tx1"/>
            </w14:solidFill>
          </w14:textFill>
        </w:rPr>
        <w:t>福建科建工程咨询有限公司</w:t>
      </w:r>
    </w:p>
    <w:p>
      <w:pPr>
        <w:pStyle w:val="14"/>
        <w:jc w:val="center"/>
        <w:outlineLvl w:val="2"/>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编制时间：2023年0</w:t>
      </w:r>
      <w:r>
        <w:rPr>
          <w:rFonts w:hint="eastAsia" w:ascii="宋体" w:hAnsi="宋体" w:eastAsia="宋体" w:cs="宋体"/>
          <w:b/>
          <w:color w:val="000000" w:themeColor="text1"/>
          <w:sz w:val="32"/>
          <w:szCs w:val="32"/>
          <w:highlight w:val="none"/>
          <w:lang w:val="en-US" w:eastAsia="zh-CN"/>
          <w14:textFill>
            <w14:solidFill>
              <w14:schemeClr w14:val="tx1"/>
            </w14:solidFill>
          </w14:textFill>
        </w:rPr>
        <w:t>7</w:t>
      </w:r>
      <w:r>
        <w:rPr>
          <w:rFonts w:hint="eastAsia" w:ascii="宋体" w:hAnsi="宋体" w:eastAsia="宋体" w:cs="宋体"/>
          <w:b/>
          <w:color w:val="000000" w:themeColor="text1"/>
          <w:sz w:val="32"/>
          <w:szCs w:val="32"/>
          <w:highlight w:val="none"/>
          <w14:textFill>
            <w14:solidFill>
              <w14:schemeClr w14:val="tx1"/>
            </w14:solidFill>
          </w14:textFill>
        </w:rPr>
        <w:t>月</w:t>
      </w:r>
    </w:p>
    <w:p>
      <w:pPr>
        <w:pStyle w:val="14"/>
        <w:spacing w:line="360" w:lineRule="auto"/>
        <w:jc w:val="center"/>
        <w:outlineLvl w:val="1"/>
        <w:rPr>
          <w:rFonts w:hint="eastAsia" w:ascii="宋体" w:hAnsi="宋体" w:eastAsia="宋体" w:cs="宋体"/>
          <w:b/>
          <w:color w:val="000000" w:themeColor="text1"/>
          <w:sz w:val="24"/>
          <w:szCs w:val="24"/>
          <w:highlight w:val="none"/>
          <w14:textFill>
            <w14:solidFill>
              <w14:schemeClr w14:val="tx1"/>
            </w14:solidFill>
          </w14:textFill>
        </w:rPr>
      </w:pPr>
    </w:p>
    <w:p>
      <w:pPr>
        <w:pStyle w:val="14"/>
        <w:spacing w:line="360" w:lineRule="auto"/>
        <w:jc w:val="center"/>
        <w:outlineLvl w:val="1"/>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第一章 投标邀请</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color w:val="000000" w:themeColor="text1"/>
          <w:sz w:val="24"/>
          <w:szCs w:val="24"/>
          <w:highlight w:val="none"/>
          <w14:textFill>
            <w14:solidFill>
              <w14:schemeClr w14:val="tx1"/>
            </w14:solidFill>
          </w14:textFill>
        </w:rPr>
        <w:t>采用公开招标方式组织</w:t>
      </w:r>
      <w:r>
        <w:rPr>
          <w:rFonts w:hint="eastAsia" w:ascii="宋体" w:hAnsi="宋体" w:eastAsia="宋体" w:cs="宋体"/>
          <w:color w:val="000000" w:themeColor="text1"/>
          <w:sz w:val="24"/>
          <w:szCs w:val="24"/>
          <w:highlight w:val="none"/>
          <w:lang w:eastAsia="zh-CN"/>
          <w14:textFill>
            <w14:solidFill>
              <w14:schemeClr w14:val="tx1"/>
            </w14:solidFill>
          </w14:textFill>
        </w:rPr>
        <w:t>三明市粮食购销领域监管信息化项目建设</w:t>
      </w:r>
      <w:r>
        <w:rPr>
          <w:rFonts w:hint="eastAsia" w:ascii="宋体" w:hAnsi="宋体" w:eastAsia="宋体" w:cs="宋体"/>
          <w:color w:val="000000" w:themeColor="text1"/>
          <w:sz w:val="24"/>
          <w:szCs w:val="24"/>
          <w:highlight w:val="none"/>
          <w14:textFill>
            <w14:solidFill>
              <w14:schemeClr w14:val="tx1"/>
            </w14:solidFill>
          </w14:textFill>
        </w:rPr>
        <w:t>（以下简称：“本项目”）的政府采购活动，现邀请供应商参加投标。</w:t>
      </w:r>
    </w:p>
    <w:p>
      <w:pPr>
        <w:pStyle w:val="14"/>
        <w:spacing w:line="360" w:lineRule="auto"/>
        <w:ind w:firstLine="480"/>
        <w:jc w:val="both"/>
        <w:outlineLvl w:val="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备案编号：TZFQXM-2023--350401-00074[2023]00791</w:t>
      </w:r>
    </w:p>
    <w:p>
      <w:pPr>
        <w:pStyle w:val="14"/>
        <w:spacing w:line="360" w:lineRule="auto"/>
        <w:ind w:firstLine="480"/>
        <w:jc w:val="both"/>
        <w:outlineLvl w:val="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color w:val="000000" w:themeColor="text1"/>
          <w:sz w:val="24"/>
          <w:szCs w:val="24"/>
          <w:highlight w:val="none"/>
          <w14:textFill>
            <w14:solidFill>
              <w14:schemeClr w14:val="tx1"/>
            </w14:solidFill>
          </w14:textFill>
        </w:rPr>
        <w:t>项目编号：[350401]FJKJ[GK]2023003</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3、预算金额、最高限价：详见《采购标的一览表》。</w:t>
      </w:r>
    </w:p>
    <w:p>
      <w:pPr>
        <w:pStyle w:val="14"/>
        <w:spacing w:line="360" w:lineRule="auto"/>
        <w:ind w:firstLine="480"/>
        <w:jc w:val="left"/>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4、招标内容及要求：详见《采购标的一览表》及招标文件第五章。</w:t>
      </w:r>
    </w:p>
    <w:p>
      <w:pPr>
        <w:pStyle w:val="14"/>
        <w:spacing w:line="360" w:lineRule="auto"/>
        <w:ind w:firstLine="480"/>
        <w:jc w:val="left"/>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5、需要落实的政府采购政策</w:t>
      </w:r>
    </w:p>
    <w:p>
      <w:pPr>
        <w:pStyle w:val="14"/>
        <w:spacing w:line="360" w:lineRule="auto"/>
        <w:ind w:firstLine="96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进口产品：不适用</w:t>
      </w:r>
    </w:p>
    <w:p>
      <w:pPr>
        <w:pStyle w:val="14"/>
        <w:spacing w:line="360" w:lineRule="auto"/>
        <w:ind w:firstLine="96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节能产品：</w:t>
      </w:r>
      <w:r>
        <w:rPr>
          <w:rFonts w:hint="eastAsia" w:ascii="宋体" w:hAnsi="宋体" w:eastAsia="宋体" w:cs="宋体"/>
          <w:color w:val="000000" w:themeColor="text1"/>
          <w:sz w:val="24"/>
          <w:szCs w:val="24"/>
          <w:highlight w:val="none"/>
          <w:lang w:eastAsia="zh-CN"/>
          <w14:textFill>
            <w14:solidFill>
              <w14:schemeClr w14:val="tx1"/>
            </w14:solidFill>
          </w14:textFill>
        </w:rPr>
        <w:t>适用</w:t>
      </w:r>
      <w:r>
        <w:rPr>
          <w:rFonts w:hint="eastAsia" w:ascii="宋体" w:hAnsi="宋体" w:eastAsia="宋体" w:cs="宋体"/>
          <w:color w:val="000000" w:themeColor="text1"/>
          <w:sz w:val="24"/>
          <w:szCs w:val="24"/>
          <w:highlight w:val="none"/>
          <w14:textFill>
            <w14:solidFill>
              <w14:schemeClr w14:val="tx1"/>
            </w14:solidFill>
          </w14:textFill>
        </w:rPr>
        <w:t>。按照财政部《关于印发节能产品政府采购品目清单》（财库〔2019〕19号）或最新公布的品目清单执行。</w:t>
      </w:r>
    </w:p>
    <w:p>
      <w:pPr>
        <w:pStyle w:val="14"/>
        <w:spacing w:line="360" w:lineRule="auto"/>
        <w:ind w:firstLine="96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环境标志产品：</w:t>
      </w:r>
      <w:r>
        <w:rPr>
          <w:rFonts w:hint="eastAsia" w:ascii="宋体" w:hAnsi="宋体" w:eastAsia="宋体" w:cs="宋体"/>
          <w:color w:val="000000" w:themeColor="text1"/>
          <w:sz w:val="24"/>
          <w:szCs w:val="24"/>
          <w:highlight w:val="none"/>
          <w:lang w:eastAsia="zh-CN"/>
          <w14:textFill>
            <w14:solidFill>
              <w14:schemeClr w14:val="tx1"/>
            </w14:solidFill>
          </w14:textFill>
        </w:rPr>
        <w:t>适用</w:t>
      </w:r>
      <w:r>
        <w:rPr>
          <w:rFonts w:hint="eastAsia" w:ascii="宋体" w:hAnsi="宋体" w:eastAsia="宋体" w:cs="宋体"/>
          <w:color w:val="000000" w:themeColor="text1"/>
          <w:sz w:val="24"/>
          <w:szCs w:val="24"/>
          <w:highlight w:val="none"/>
          <w14:textFill>
            <w14:solidFill>
              <w14:schemeClr w14:val="tx1"/>
            </w14:solidFill>
          </w14:textFill>
        </w:rPr>
        <w:t>。按照财政部《关于印发环境标志产品政府采购品目清单的通知》（财库〔2019〕18号）或最新公布的品目清单执行。</w:t>
      </w:r>
    </w:p>
    <w:p>
      <w:pPr>
        <w:pStyle w:val="14"/>
        <w:spacing w:line="360" w:lineRule="auto"/>
        <w:ind w:firstLine="96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信息安全产品：</w:t>
      </w:r>
      <w:r>
        <w:rPr>
          <w:rFonts w:hint="eastAsia" w:ascii="宋体" w:hAnsi="宋体" w:eastAsia="宋体" w:cs="宋体"/>
          <w:color w:val="000000" w:themeColor="text1"/>
          <w:sz w:val="24"/>
          <w:szCs w:val="24"/>
          <w:highlight w:val="none"/>
          <w:lang w:eastAsia="zh-CN"/>
          <w14:textFill>
            <w14:solidFill>
              <w14:schemeClr w14:val="tx1"/>
            </w14:solidFill>
          </w14:textFill>
        </w:rPr>
        <w:t>适用</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spacing w:line="360" w:lineRule="auto"/>
        <w:ind w:firstLine="96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用记录：按照下列规定执行：（1）投标人针对“信用记录查询结果”可自主提供证明材料，未提供该证明材料的不视为投标文件无效。（2）查询结果的审查：①由资格审查小组通过上述网站查询并打印投标人信用记录（以下简称：“资格审查小组的查询结果”）。②投标人提供的查询结果与资格审查小组的查询结果不一致的，以资格审查小组的查询结果为准。③因上述网站原因导致资格审查小组无法查询投标人信用记录的（资格审查小组应将通过上述网站查询投标人信用记录时的原始页面打印后随采购文件一并存档），以投标人提供的查询结果为准。④查询结果存在投标人应被拒绝参与政府采购活动相关信息的，其资格审查不合格。</w:t>
      </w:r>
    </w:p>
    <w:p>
      <w:pPr>
        <w:pStyle w:val="14"/>
        <w:spacing w:line="360" w:lineRule="auto"/>
        <w:ind w:firstLine="96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促进中小企业发展的相关政策：</w:t>
      </w:r>
    </w:p>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采购包1：不专门面向中小企业采购</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6、投标人的资格要求</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6.1法定条件：符合政府采购法第二十二条第一款规定的条件。</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6.2特定条件：</w:t>
      </w:r>
    </w:p>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26"/>
        <w:gridCol w:w="60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26" w:type="dxa"/>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资格审查要求概况</w:t>
            </w:r>
          </w:p>
        </w:tc>
        <w:tc>
          <w:tcPr>
            <w:tcW w:w="6080" w:type="dxa"/>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26" w:type="dxa"/>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3C、节能、信息安全产品</w:t>
            </w:r>
          </w:p>
        </w:tc>
        <w:tc>
          <w:tcPr>
            <w:tcW w:w="6080" w:type="dxa"/>
          </w:tcPr>
          <w:p>
            <w:pPr>
              <w:pStyle w:val="14"/>
              <w:spacing w:line="360" w:lineRule="auto"/>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除招标文件规定需要提供3C认证、强制节能、信息安全产品等以外，投标人所投产品有属国家强制性规定的，须承诺其所投产品符合国家强制性要求。</w:t>
            </w:r>
            <w:r>
              <w:rPr>
                <w:rFonts w:hint="eastAsia" w:ascii="宋体" w:hAnsi="宋体" w:eastAsia="宋体" w:cs="宋体"/>
                <w:color w:val="000000" w:themeColor="text1"/>
                <w:sz w:val="24"/>
                <w:szCs w:val="24"/>
                <w:highlight w:val="none"/>
                <w:lang w:eastAsia="zh-CN"/>
                <w14:textFill>
                  <w14:solidFill>
                    <w14:schemeClr w14:val="tx1"/>
                  </w14:solidFill>
                </w14:textFill>
              </w:rPr>
              <w:t>提供承诺函，格式自拟。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26" w:type="dxa"/>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单位负责人授权书</w:t>
            </w:r>
          </w:p>
        </w:tc>
        <w:tc>
          <w:tcPr>
            <w:tcW w:w="6080" w:type="dxa"/>
            <w:vAlign w:val="top"/>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参加投标的投标人代表需手持本人身份证原件及CA认证卡（数字证书）用于现场解密电子版响应文件。如果投标人代表不是单位负责人，投标人代表还需手持《单位负责人授权书》（附单位负责人身份证及被授权人身份证正反面复印件）以便现场核查。</w:t>
            </w:r>
          </w:p>
        </w:tc>
      </w:tr>
    </w:tbl>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6.3是否接受联合体投标：</w:t>
      </w: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采购包1：不接受</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※根据上述资格要求，电子投标文件中应提交的“投标人的资格及资信证明文件”详见招标文件第四章。</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7、招标文件的获取</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7.1、招标文件获取期限：详见招标公告或更正公告，若不一致，以更正公告为准。</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7.3、获取地点及方式：注册账号后，通过福建省政府采购网上公开信息系统以下载方式获取。</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7.4、招标文件售价：0元。</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8、投标截止</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8.1、投标截止时间：详见招标公告或更正公告，若不一致，以更正公告为准。</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8.2、投标人应在投标截止时间前按照福建省政府采购网上公开信息系统设定的操作流程将电子投标文件上传至福建省政府采购网上公开信息系统，否则投标将被拒绝。</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9、开标时间及地点</w:t>
      </w:r>
    </w:p>
    <w:p>
      <w:pPr>
        <w:pStyle w:val="14"/>
        <w:spacing w:line="360" w:lineRule="auto"/>
        <w:ind w:firstLine="96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详见招标公告或更正公告，若不一致，以更正公告为准。</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10、公告期限</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10.1、招标公告的公告期限：自财政部和福建省财政厅指定的政府采购信息发布媒体最先发布公告之日起5个工作日。</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10.2、招标文件公告期限：招标文件随同招标公告一并发布，其公告期限与招标公告的公告期限保持一致。</w:t>
      </w:r>
    </w:p>
    <w:p>
      <w:pPr>
        <w:pStyle w:val="14"/>
        <w:spacing w:line="360" w:lineRule="auto"/>
        <w:ind w:firstLine="480"/>
        <w:jc w:val="left"/>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11、采购人：</w:t>
      </w:r>
      <w:r>
        <w:rPr>
          <w:rFonts w:hint="eastAsia" w:ascii="宋体" w:hAnsi="宋体" w:eastAsia="宋体" w:cs="宋体"/>
          <w:b/>
          <w:color w:val="000000" w:themeColor="text1"/>
          <w:sz w:val="24"/>
          <w:szCs w:val="24"/>
          <w:highlight w:val="none"/>
          <w:lang w:eastAsia="zh-CN"/>
          <w14:textFill>
            <w14:solidFill>
              <w14:schemeClr w14:val="tx1"/>
            </w14:solidFill>
          </w14:textFill>
        </w:rPr>
        <w:t>三明市粮食和物资储备局</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w:t>
      </w:r>
      <w:r>
        <w:rPr>
          <w:rFonts w:hint="eastAsia" w:ascii="宋体" w:hAnsi="宋体" w:eastAsia="宋体" w:cs="宋体"/>
          <w:color w:val="000000" w:themeColor="text1"/>
          <w:sz w:val="24"/>
          <w:szCs w:val="24"/>
          <w:highlight w:val="none"/>
          <w:lang w:val="en-US" w:eastAsia="zh-CN"/>
          <w14:textFill>
            <w14:solidFill>
              <w14:schemeClr w14:val="tx1"/>
            </w14:solidFill>
          </w14:textFill>
        </w:rPr>
        <w:t>福建省三明市三元区列东街55号粮食大楼</w:t>
      </w:r>
    </w:p>
    <w:p>
      <w:pPr>
        <w:pStyle w:val="14"/>
        <w:spacing w:line="360" w:lineRule="auto"/>
        <w:ind w:firstLine="480" w:firstLineChars="200"/>
        <w:jc w:val="both"/>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w:t>
      </w:r>
      <w:r>
        <w:rPr>
          <w:rFonts w:hint="eastAsia" w:ascii="宋体" w:hAnsi="宋体" w:eastAsia="宋体" w:cs="宋体"/>
          <w:color w:val="000000" w:themeColor="text1"/>
          <w:sz w:val="24"/>
          <w:szCs w:val="24"/>
          <w:highlight w:val="none"/>
          <w:lang w:val="en-US" w:eastAsia="zh-CN"/>
          <w14:textFill>
            <w14:solidFill>
              <w14:schemeClr w14:val="tx1"/>
            </w14:solidFill>
          </w14:textFill>
        </w:rPr>
        <w:t>365000</w:t>
      </w:r>
    </w:p>
    <w:p>
      <w:pPr>
        <w:pStyle w:val="14"/>
        <w:spacing w:line="360" w:lineRule="auto"/>
        <w:ind w:firstLine="480" w:firstLineChars="20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r>
        <w:rPr>
          <w:rFonts w:hint="eastAsia" w:ascii="宋体" w:hAnsi="宋体" w:eastAsia="宋体" w:cs="宋体"/>
          <w:color w:val="000000" w:themeColor="text1"/>
          <w:sz w:val="24"/>
          <w:szCs w:val="24"/>
          <w:highlight w:val="none"/>
          <w:lang w:eastAsia="zh-CN"/>
          <w14:textFill>
            <w14:solidFill>
              <w14:schemeClr w14:val="tx1"/>
            </w14:solidFill>
          </w14:textFill>
        </w:rPr>
        <w:t>陈工</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0598-5185913</w:t>
      </w:r>
    </w:p>
    <w:p>
      <w:pPr>
        <w:pStyle w:val="14"/>
        <w:spacing w:line="360" w:lineRule="auto"/>
        <w:ind w:firstLine="480"/>
        <w:jc w:val="left"/>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12、代理机构：</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p>
    <w:p>
      <w:pPr>
        <w:pStyle w:val="14"/>
        <w:spacing w:line="360" w:lineRule="auto"/>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地址：三明市三元区乾龙新村18幢七层5号、七层6号（兴化大厦）</w:t>
      </w:r>
    </w:p>
    <w:p>
      <w:pPr>
        <w:pStyle w:val="14"/>
        <w:spacing w:line="360" w:lineRule="auto"/>
        <w:ind w:firstLine="480" w:firstLineChars="200"/>
        <w:jc w:val="both"/>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w:t>
      </w:r>
      <w:r>
        <w:rPr>
          <w:rFonts w:hint="eastAsia" w:ascii="宋体" w:hAnsi="宋体" w:eastAsia="宋体" w:cs="宋体"/>
          <w:color w:val="000000" w:themeColor="text1"/>
          <w:sz w:val="24"/>
          <w:szCs w:val="24"/>
          <w:highlight w:val="none"/>
          <w:lang w:val="en-US" w:eastAsia="zh-CN"/>
          <w14:textFill>
            <w14:solidFill>
              <w14:schemeClr w14:val="tx1"/>
            </w14:solidFill>
          </w14:textFill>
        </w:rPr>
        <w:t>365000</w:t>
      </w:r>
    </w:p>
    <w:p>
      <w:pPr>
        <w:pStyle w:val="14"/>
        <w:spacing w:line="360" w:lineRule="auto"/>
        <w:ind w:firstLine="480" w:firstLineChars="20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r>
        <w:rPr>
          <w:rFonts w:hint="eastAsia" w:ascii="宋体" w:hAnsi="宋体" w:eastAsia="宋体" w:cs="宋体"/>
          <w:color w:val="000000" w:themeColor="text1"/>
          <w:sz w:val="24"/>
          <w:szCs w:val="24"/>
          <w:highlight w:val="none"/>
          <w:lang w:eastAsia="zh-CN"/>
          <w14:textFill>
            <w14:solidFill>
              <w14:schemeClr w14:val="tx1"/>
            </w14:solidFill>
          </w14:textFill>
        </w:rPr>
        <w:t>温国洪</w:t>
      </w:r>
    </w:p>
    <w:p>
      <w:pPr>
        <w:pStyle w:val="14"/>
        <w:spacing w:line="360" w:lineRule="auto"/>
        <w:ind w:firstLine="480" w:firstLineChars="200"/>
        <w:jc w:val="both"/>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0598-8656663</w:t>
      </w: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附1：账户信息</w:t>
      </w:r>
    </w:p>
    <w:tbl>
      <w:tblPr>
        <w:tblStyle w:val="10"/>
        <w:tblW w:w="90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6" w:type="dxa"/>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投标保证金账户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6" w:type="dxa"/>
          </w:tcPr>
          <w:p>
            <w:pPr>
              <w:pStyle w:val="14"/>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开户名称：</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6" w:type="dxa"/>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开户银行：供应商在福建省政府采购网上公开信息系统获取招标文件后，根据其提示自行选择要缴交的投标保证金托管银行。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6" w:type="dxa"/>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6" w:type="dxa"/>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特别提示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6" w:type="dxa"/>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1、投标人应认真核对账户信息，将投标保证金汇入以上账户，并自行承担因汇错投标保证金而产生的一切后果。</w:t>
            </w:r>
          </w:p>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2、投标人在转账或电汇的凭证上应按照以下格式注明，以便核对：“（项目编号：***）的投标保证金”。</w:t>
            </w:r>
          </w:p>
        </w:tc>
      </w:tr>
    </w:tbl>
    <w:p>
      <w:pPr>
        <w:pStyle w:val="14"/>
        <w:spacing w:line="360" w:lineRule="auto"/>
        <w:ind w:firstLine="480"/>
        <w:jc w:val="both"/>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spacing w:line="360" w:lineRule="auto"/>
        <w:ind w:firstLine="480"/>
        <w:jc w:val="both"/>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spacing w:line="360" w:lineRule="auto"/>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附2：采购标的一览表</w:t>
      </w:r>
    </w:p>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w:t>
      </w:r>
    </w:p>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采购包预算金额（元）:</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13,557,454.61</w:t>
      </w:r>
    </w:p>
    <w:p>
      <w:pPr>
        <w:pStyle w:val="14"/>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采购包最高限价（元）: </w:t>
      </w:r>
      <w:r>
        <w:rPr>
          <w:rFonts w:hint="eastAsia" w:ascii="宋体" w:hAnsi="宋体" w:eastAsia="宋体" w:cs="宋体"/>
          <w:color w:val="000000" w:themeColor="text1"/>
          <w:sz w:val="24"/>
          <w:szCs w:val="24"/>
          <w:highlight w:val="none"/>
          <w:lang w:val="en-US" w:eastAsia="zh-CN"/>
          <w14:textFill>
            <w14:solidFill>
              <w14:schemeClr w14:val="tx1"/>
            </w14:solidFill>
          </w14:textFill>
        </w:rPr>
        <w:t>12670500.00</w:t>
      </w:r>
    </w:p>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采购包保证金金额（元）:</w:t>
      </w:r>
      <w:r>
        <w:rPr>
          <w:rFonts w:hint="eastAsia" w:ascii="宋体" w:hAnsi="宋体" w:eastAsia="宋体" w:cs="宋体"/>
          <w:color w:val="000000" w:themeColor="text1"/>
          <w:sz w:val="24"/>
          <w:szCs w:val="24"/>
          <w:highlight w:val="none"/>
          <w:lang w:val="en-US" w:eastAsia="zh-CN"/>
          <w14:textFill>
            <w14:solidFill>
              <w14:schemeClr w14:val="tx1"/>
            </w14:solidFill>
          </w14:textFill>
        </w:rPr>
        <w:t>150000</w:t>
      </w:r>
      <w:r>
        <w:rPr>
          <w:rFonts w:hint="eastAsia" w:ascii="宋体" w:hAnsi="宋体" w:eastAsia="宋体" w:cs="宋体"/>
          <w:color w:val="000000" w:themeColor="text1"/>
          <w:sz w:val="24"/>
          <w:szCs w:val="24"/>
          <w:highlight w:val="none"/>
          <w14:textFill>
            <w14:solidFill>
              <w14:schemeClr w14:val="tx1"/>
            </w14:solidFill>
          </w14:textFill>
        </w:rPr>
        <w:t>.00</w:t>
      </w:r>
    </w:p>
    <w:tbl>
      <w:tblPr>
        <w:tblStyle w:val="10"/>
        <w:tblW w:w="9641"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2430"/>
        <w:gridCol w:w="885"/>
        <w:gridCol w:w="1725"/>
        <w:gridCol w:w="1335"/>
        <w:gridCol w:w="1185"/>
        <w:gridCol w:w="12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标的名称</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标的金额 （元）</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计量单位</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所属行业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是否允许进口产品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3,500,000.00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三明市粮食购销领域监管信息化项目建设（沙县区）</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315,000.00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三明市粮食购销领域监管信息化项目建设（永安市）</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2,036,473.88</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三明市粮食购销领域监管信息化项目建设（清流县）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307,300.00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三明市粮食购销领域监管信息化项目建设（建宁县）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1,713,300.00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三明市粮食购销领域监管信息化项目建设（尤溪县）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663,100.00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三明市粮食购销领域监管信息化项目建设（大田县）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2,043,000.00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三明市粮食购销领域监管信息化项目建设（明溪县）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710,365.73</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三明市粮食购销领域监管信息化项目建设（将乐县）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172,815.00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三明市粮食购销领域监管信息化项目建设（泰宁）</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1,210,000.00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36" w:type="dxa"/>
            <w:tcBorders>
              <w:tl2br w:val="nil"/>
              <w:tr2bl w:val="nil"/>
            </w:tcBorders>
            <w:vAlign w:val="center"/>
          </w:tcPr>
          <w:p>
            <w:pPr>
              <w:pStyle w:val="14"/>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p>
        </w:tc>
        <w:tc>
          <w:tcPr>
            <w:tcW w:w="2430"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三明市粮食购销领域监管信息化项目建设（宁化县）</w:t>
            </w:r>
          </w:p>
        </w:tc>
        <w:tc>
          <w:tcPr>
            <w:tcW w:w="8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p>
        </w:tc>
        <w:tc>
          <w:tcPr>
            <w:tcW w:w="172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886,100.00</w:t>
            </w:r>
          </w:p>
        </w:tc>
        <w:tc>
          <w:tcPr>
            <w:tcW w:w="133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批</w:t>
            </w:r>
          </w:p>
        </w:tc>
        <w:tc>
          <w:tcPr>
            <w:tcW w:w="118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工业</w:t>
            </w:r>
          </w:p>
        </w:tc>
        <w:tc>
          <w:tcPr>
            <w:tcW w:w="1245" w:type="dxa"/>
            <w:tcBorders>
              <w:tl2br w:val="nil"/>
              <w:tr2bl w:val="nil"/>
            </w:tcBorders>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否</w:t>
            </w:r>
          </w:p>
        </w:tc>
      </w:tr>
    </w:tbl>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1"/>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第二章 投标人须知前附表</w:t>
      </w:r>
    </w:p>
    <w:p>
      <w:pPr>
        <w:pStyle w:val="14"/>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一、投标人须知前附表1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6"/>
        <w:gridCol w:w="1430"/>
        <w:gridCol w:w="6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特别提示：本表与招标文件对应章节的内容若不一致，以本表为准。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招标文件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（第三章）</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6.1</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是否组织现场考察或召开开标前答疑会：</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10.4</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投标文件的份数：</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（1）可读介质（光盘或U盘）1份：投标人应将其上传至福建省政府采购网上公开信息系统的电子投标文件在该可读介质中另存1份。</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（2）电子投标文件：详见投标人须知前附表2《关于电子招标投标活动的专门规定》。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10.7-（1）</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是否允许中标人将本项目的非主体、非关键性工作进行分包：采购包1：不允许合同分包；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10.8-（1）</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投标有效期：投标截止时间起90个日历日。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12.1</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确定中标候选人名单：</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12.2</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本项目中标人的确定（以采购包为单位）：</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（1）采购人应在政府采购招投标管理办法规定的时限内确定中标人。</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（2）若出现中标候选人并列情形，则按照下列方式确定中标人：</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①招标文件规定的方式：</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按技术</w:t>
            </w:r>
            <w:r>
              <w:rPr>
                <w:rFonts w:hint="eastAsia" w:ascii="宋体" w:hAnsi="宋体" w:eastAsia="宋体" w:cs="宋体"/>
                <w:b/>
                <w:color w:val="000000" w:themeColor="text1"/>
                <w:sz w:val="24"/>
                <w:szCs w:val="24"/>
                <w:highlight w:val="none"/>
                <w:lang w:eastAsia="zh-CN"/>
                <w14:textFill>
                  <w14:solidFill>
                    <w14:schemeClr w14:val="tx1"/>
                  </w14:solidFill>
                </w14:textFill>
              </w:rPr>
              <w:t>商务</w:t>
            </w:r>
            <w:r>
              <w:rPr>
                <w:rFonts w:hint="eastAsia" w:ascii="宋体" w:hAnsi="宋体" w:eastAsia="宋体" w:cs="宋体"/>
                <w:b/>
                <w:color w:val="000000" w:themeColor="text1"/>
                <w:sz w:val="24"/>
                <w:szCs w:val="24"/>
                <w:highlight w:val="none"/>
                <w14:textFill>
                  <w14:solidFill>
                    <w14:schemeClr w14:val="tx1"/>
                  </w14:solidFill>
                </w14:textFill>
              </w:rPr>
              <w:t>部分得分从高到低顺序进行排列，技术</w:t>
            </w:r>
            <w:r>
              <w:rPr>
                <w:rFonts w:hint="eastAsia" w:ascii="宋体" w:hAnsi="宋体" w:eastAsia="宋体" w:cs="宋体"/>
                <w:b/>
                <w:color w:val="000000" w:themeColor="text1"/>
                <w:sz w:val="24"/>
                <w:szCs w:val="24"/>
                <w:highlight w:val="none"/>
                <w:lang w:eastAsia="zh-CN"/>
                <w14:textFill>
                  <w14:solidFill>
                    <w14:schemeClr w14:val="tx1"/>
                  </w14:solidFill>
                </w14:textFill>
              </w:rPr>
              <w:t>商务</w:t>
            </w:r>
            <w:r>
              <w:rPr>
                <w:rFonts w:hint="eastAsia" w:ascii="宋体" w:hAnsi="宋体" w:eastAsia="宋体" w:cs="宋体"/>
                <w:b/>
                <w:color w:val="000000" w:themeColor="text1"/>
                <w:sz w:val="24"/>
                <w:szCs w:val="24"/>
                <w:highlight w:val="none"/>
                <w14:textFill>
                  <w14:solidFill>
                    <w14:schemeClr w14:val="tx1"/>
                  </w14:solidFill>
                </w14:textFill>
              </w:rPr>
              <w:t>部分得分最高的投标人将被排序在前。</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②若本款第①点规定方式为“无”，则按照下列方式确定：无</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③若本款第①、②点规定方式均为“无”，则按照下列方式确定：随机抽取。</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（3）本项目确定的中标人家数：</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13.2</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合同签订时限：自中标通知书发出之日起</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color w:val="000000" w:themeColor="text1"/>
                <w:sz w:val="24"/>
                <w:szCs w:val="24"/>
                <w:highlight w:val="none"/>
                <w14:textFill>
                  <w14:solidFill>
                    <w14:schemeClr w14:val="tx1"/>
                  </w14:solidFill>
                </w14:textFill>
              </w:rPr>
              <w:t>个日历日内。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15.1-（2）</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质疑函原件应采用下列方式提交：书面形式。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15.4</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招标文件的质疑</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（1）潜在投标人可在质疑时效期间内对招标文件以书面形式提出质疑。</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（2）质疑时效期间：应在依法获取招标文件之日起7个工作日内向</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提出，依法获取招标文件的时间以福建省政府采购网上公开信息系统记载的为准。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※除上述规定外，对招标文件提出的质疑还应符合招标文件第三章第15.1条的有关规定。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16.1</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监督管理部门：三明市财政局采购监督管理办公室（仅限依法进行政府采购的货物或服务类项目）。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18.1</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财政部和福建省财政厅指定的政府采购信息发布媒体（以下简称：“指定媒体”）：</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（1）中国政府采购网，网址www.ccgp.gov.cn。</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（2）中国政府采购网福建分网（福建省政府采购网），网址zfcg.czt.fujian.gov.cn。</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※若出现上述指定媒体信息不一致情形，应以中国政府采购网福建分网（福建省政府采购网）发布的为准。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8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w:t>
            </w:r>
          </w:p>
        </w:tc>
        <w:tc>
          <w:tcPr>
            <w:tcW w:w="143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19</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其他事项：</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(1)本项目代理服务费：</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本项目收取代理服务费</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代理服务费用收取对象：中标/成交供应商</w:t>
            </w:r>
          </w:p>
          <w:p>
            <w:pPr>
              <w:pStyle w:val="14"/>
              <w:jc w:val="both"/>
              <w:rPr>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代理服务费收费标准：</w:t>
            </w:r>
            <w:r>
              <w:rPr>
                <w:b/>
                <w:color w:val="000000" w:themeColor="text1"/>
                <w:sz w:val="24"/>
                <w:szCs w:val="24"/>
                <w:highlight w:val="none"/>
                <w14:textFill>
                  <w14:solidFill>
                    <w14:schemeClr w14:val="tx1"/>
                  </w14:solidFill>
                </w14:textFill>
              </w:rPr>
              <w:t>以合同包的中标总金额为准，按差额定率累进法计取，具体按以下标准计取：成交金额成交金额超过100万的：其中100万按成交金额的1.5%计取；100万-500万部分金额按1.1%计取；500万-1000万部分金额按0.8%计取；1000万-5000万部分金额按0.5%计取。</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(2)其他：</w:t>
            </w:r>
          </w:p>
          <w:p>
            <w:pPr>
              <w:pStyle w:val="14"/>
              <w:jc w:val="both"/>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①</w:t>
            </w:r>
            <w:r>
              <w:rPr>
                <w:rFonts w:hint="eastAsia" w:ascii="宋体" w:hAnsi="宋体" w:eastAsia="宋体" w:cs="宋体"/>
                <w:b/>
                <w:color w:val="000000" w:themeColor="text1"/>
                <w:sz w:val="24"/>
                <w:szCs w:val="24"/>
                <w:highlight w:val="none"/>
                <w14:textFill>
                  <w14:solidFill>
                    <w14:schemeClr w14:val="tx1"/>
                  </w14:solidFill>
                </w14:textFill>
              </w:rPr>
              <w:t>根据《政府采购货物和服务招标投标管理办法》（中华人民共和国财政部令第87号）第二十条“采购人或者采购代理机构应当根据采购项目的特点和采购需求编制招标文件。招标文件应当包括……投标保证金交纳”、《中华人民共和国政府采购法实施条例》第三十三条“招标文件要求投标人提交投标保证金的，投标保证金不得超过采购项目预算金额的2%”，本项目预算</w:t>
            </w:r>
            <w:r>
              <w:rPr>
                <w:rFonts w:hint="eastAsia" w:ascii="宋体" w:hAnsi="宋体" w:eastAsia="宋体" w:cs="宋体"/>
                <w:color w:val="000000" w:themeColor="text1"/>
                <w:sz w:val="24"/>
                <w:szCs w:val="24"/>
                <w:highlight w:val="none"/>
                <w:lang w:val="en-US" w:eastAsia="zh-CN"/>
                <w14:textFill>
                  <w14:solidFill>
                    <w14:schemeClr w14:val="tx1"/>
                  </w14:solidFill>
                </w14:textFill>
              </w:rPr>
              <w:t>12670500.00</w:t>
            </w:r>
            <w:r>
              <w:rPr>
                <w:rFonts w:hint="eastAsia" w:ascii="宋体" w:hAnsi="宋体" w:eastAsia="宋体" w:cs="宋体"/>
                <w:b/>
                <w:color w:val="000000" w:themeColor="text1"/>
                <w:sz w:val="24"/>
                <w:szCs w:val="24"/>
                <w:highlight w:val="none"/>
                <w14:textFill>
                  <w14:solidFill>
                    <w14:schemeClr w14:val="tx1"/>
                  </w14:solidFill>
                </w14:textFill>
              </w:rPr>
              <w:t>元，投标保证金按</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150000</w:t>
            </w:r>
            <w:r>
              <w:rPr>
                <w:rFonts w:hint="eastAsia" w:ascii="宋体" w:hAnsi="宋体" w:eastAsia="宋体" w:cs="宋体"/>
                <w:b/>
                <w:color w:val="000000" w:themeColor="text1"/>
                <w:sz w:val="24"/>
                <w:szCs w:val="24"/>
                <w:highlight w:val="none"/>
                <w14:textFill>
                  <w14:solidFill>
                    <w14:schemeClr w14:val="tx1"/>
                  </w14:solidFill>
                </w14:textFill>
              </w:rPr>
              <w:t>元整收取。</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② 投标人在递交质疑函时除应提供本招标文件规定的相关材料外，还须提供福建省政府采购网上公开信息系统本项目的报名截图复印件，否则递交的质疑函将不予受理。在法定质疑期内质疑人须一次性提出针对同一采购程序环节的质疑，二（多）次质疑不予受理。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16" w:type="dxa"/>
            <w:gridSpan w:val="2"/>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备注</w:t>
            </w:r>
          </w:p>
        </w:tc>
        <w:tc>
          <w:tcPr>
            <w:tcW w:w="60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后有投标人须知前附表2，请勿遗漏。</w:t>
            </w:r>
          </w:p>
        </w:tc>
      </w:tr>
    </w:tbl>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二、投标人须知前附表2</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6"/>
        <w:gridCol w:w="73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73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p>
        </w:tc>
        <w:tc>
          <w:tcPr>
            <w:tcW w:w="73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（1）电子招标投标活动的专门规定适用本项目电子招标投标活动。</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（2）将招标文件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无的内容修正为下列内容：</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无后适用本项目的电子招标投标活动。</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（3）将下列内容增列为招标文件的组成部分（以下简称：“增列内容”）适用本项目的电子招标投标活动，若增列内容与招标文件其他章节内容有冲突，应以增列内容为准：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①电子招标投标活动的具体操作流程以福建省政府采购网上公开信息系统设定的为准。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②关于电子投标文件：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a.投标人应按照福建省政府采购网上公开信息系统设定的评审节点编制电子投标文件，否则资格审查小组、评标委员会将按照不利于投标人的内容进行认定。</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③关于证明材料或资料：</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b.若投标人提供注明“复印件无效”或“复印无效”的证明材料或资料，应结合上文a条款进行判定，若招标文件未要求投标人提供原件，投标人提供原件，复印件（含扫描件）均视为满足招标文件要求。</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④关于“全称”、“投标人代表签字”及“加盖单位公章”：</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a.在电子投标文件中，涉及“全称”和“投标人代表签字”的内容可使用打字录入方式完成。</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b.在电子投标文件中，涉及“加盖单位公章”的内容应使用投标人的CA证书完成，否则投标无效。</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c.在电子投标文件中，若投标人按照本增列内容第④点第b项规定加盖其单位公章，则出现无全称、或投标人代表未签字等情形，不视为投标无效。</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⑤关于投标人的CA证书：</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a.投标人的CA证书应在系统规定时间内使用CA证书进行电子投标文件的解密操作，逾期未解密的视为放弃投标。</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b.投标人的CA证书可采用信封（包括但不限于：信封、档案袋、文件袋等）作为外包装进行单独包装。外包装密封、不密封皆可。</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c.投标人的CA证书或外包装应标记“项目名称、项目编号、投标人的全称”等内容，以方便识别、使用。</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d.投标人的CA证书应能正常、有效使用，否则产生不利后果由投标人承担责任。</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⑥关于投标截止时间过后</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a.未按招标文件规定提交投标保证金的，其投标将按无效投标处理。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b.有下列情形之一的，其投标无效,其保证金不予退还或通过投标保函进行索赔：</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b1不同投标人的电子投标文件具有相同内部识别码；</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b2不同投标人的投标保证金从同一单位或个人的账户转出；</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b3投标人的投标保证金同一采购包下有其他投标人提交的投标保证金；</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b4不同投标人存在串通投标的其他情形。</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⑧其他：</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无</w:t>
            </w:r>
          </w:p>
        </w:tc>
      </w:tr>
    </w:tbl>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1"/>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第三章 投标人须知</w:t>
      </w:r>
    </w:p>
    <w:p>
      <w:pPr>
        <w:pStyle w:val="14"/>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一、总则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1、适用范围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1.1适用于招标文件载明项目的政府采购活动（以下简称：“本次采购活动”）。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2、定义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2.1“采购标的”指招标文件载明的需要采购的货物或服务。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2.2“潜在投标人”指按照招标文件第一章第7条规定获取招标文件且有意向参加本项目投标的供应商。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2.3“投标人”指按照招标文件第一章第7条规定获取招标文件并参加本项目投标的供应商。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2.4“单位负责人”指单位法定代表人或法律、法规规定代表单位行使职权的主要负责人。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2.5“投标人代表”指投标人的单位负责人或“单位负责人授权书”中载明的接受授权方。</w:t>
      </w:r>
    </w:p>
    <w:p>
      <w:pPr>
        <w:pStyle w:val="14"/>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3、合格投标人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3.1一般规定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（1）投标人应遵守政府采购法及实施条例、政府采购招投标管理办法、政府采购质疑和投诉办法及财政部、福建省财政厅有关政府采购文件的规定，同时还应遵守有关法律、法规和规章的强制性规定。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（2）投标人的资格要求：详见招标文件第一章。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3.2若本项目接受联合体投标且投标人为联合体，则联合体各方应遵守本章第3.1条规定，同时还应遵守下列规定：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（1）联合体各方应提交联合体协议，联合体协议应符合招标文件规定。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（2）联合体各方不得再单独参加或与其他供应商另外组成联合体参加同一合同项下的投标。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（3）联合体各方应共同与采购人签订政府采购合同，就政府采购合同约定的事项对采购人承担连带责任。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（5）联合体一方放弃中标的，视为联合体整体放弃中标，联合体各方承担连带责任。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（6）如本项目不接受联合体投标而投标人为联合体的，或者本项目接受联合体投标但投标人组成的联合体不符合本章第3.2条规定的，投标无效。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4、投标费用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4.1除招标文件另有规定外，投标人应自行承担其参加本项目投标所涉及的一切费用。</w:t>
      </w:r>
    </w:p>
    <w:p>
      <w:pPr>
        <w:pStyle w:val="14"/>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三、招标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5、招标文件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5.1招标文件由下述部分组成：</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（1）投标邀请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（2）投标人须知前附表（表1、2）</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（3）投标人须知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（4）资格审查与评标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（5）招标内容及要求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（6）政府采购合同（参考文本）</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（7）电子投标文件格式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（8）按照招标文件规定作为招标文件组成部分的其他内容（若有）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5.2招标文件的澄清或修改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可对已发出的招标文件进行必要的澄清或修改，但不得对招标文件载明的采购标的和投标人的资格要求进行改变。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（2）除本章第5.2条第（3）款规定情形外，澄清或修改的内容可能影响电子投标文件编制的，</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将在投标截止时间至少15个日历日前，在招标文件载明的指定媒体以更正公告的形式发布澄清或修改的内容。不足15个日历日的，</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将顺延投标截止时间及开标时间，</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和投标人受原投标截止时间及开标时间制约的所有权利和义务均延长至新的投标截止时间及开标时间。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（3）澄清或修改的内容可能改变招标文件载明的采购标的和投标人的资格要求的，本次采购活动结束，</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将依法组织后续采购活动（包括但不限于：重新招标、采用其他方式采购等）。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6、现场考察或开标前答疑会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6.1是否组织现场考察或召开开标前答疑会：详见招标文件第二章。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7、更正公告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7.1若</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发布更正公告，则更正公告及其所发布的内容或信息（包括但不限于：招标文件的澄清或修改、现场考察或答疑会的有关事宜等）作为招标文件组成部分，对投标人具有约束力。</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7.2更正公告作为</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通知所有潜在投标人的书面形式。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8、终止公告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8.1若出现因重大变故导致采购任务取消情形，</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可终止招标并发布终止公告。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8.2终止公告作为</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通知所有潜在投标人的书面形式。</w:t>
      </w:r>
    </w:p>
    <w:p>
      <w:pPr>
        <w:pStyle w:val="14"/>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9.1投标人可对招标文件载明的全部或部分采购包进行投标。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9.2投标人应对同一个采购包内的所有内容进行完整投标，否则投标无效。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9.3投标人代表只能接受一个投标人的授权参加投标，否则投标无效。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9.4单位负责人为同一人或存在直接控股、管理关系的不同供应商，不得同时参加同一合同项下的投标，否则投标无效。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9.5为本项目提供整体设计、规范编制或项目管理、监理、检测等服务的供应商，不得参加本项目除整体设计、规范编制和项目管理、监理、检测等服务外的采购活动，否则投标无效。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9.6列入失信被执行人、重大税收违法案件当事人名单、政府采购严重违法失信行为记录名单及其他不符合政府采购法第二十二条规定条件的供应商，不得参加投标，否则投标无效。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9.7有下列情形之一的，视为投标人串通投标，其投标无效：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（1）不同投标人的电子投标文件由同一单位或个人编制；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（2）不同投标人委托同一单位或个人办理投标事宜；</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（3）不同投标人的电子投标文件载明的项目管理成员或联系人员为同一人；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（4）不同投标人的电子投标文件异常一致或投标报价呈规律性差异；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（5）不同投标人的电子投标文件相互混装；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（6）不同投标人的投标保证金从同一单位或个人的账户转出；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（7）有关法律、法规和规章及招标文件规定的其他串通投标情形。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10、电子投标文件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10.1电子投标文件的编制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（1）投标人应先仔细阅读招标文件的全部内容后，再进行电子投标文件的编制。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（2）电子投标文件应按照本章第10.2条规定编制其组成部分。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（3）电子投标文件应满足招标文件提出的实质性要求和条件，并保证其所提交的全部资料是不可割离且真实、有效、准确、完整和不具有任何误导性的，否则造成不利后果由投标人承担责任。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10.2电子投标文件由下述部分组成：</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（1）资格及资信证明部分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②投标人的资格及资信证明文件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③投标保证金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（2）报价部分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①开标一览表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②投标分项报价表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③招标文件规定的价格扣除证明材料（若有）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④招标文件规定的加分证明材料（若有）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（3）技术商务部分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①标的说明一览表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②技术和服务要求响应表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③商务条件响应表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④投标人提交的其他资料（若有）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⑤招标文件规定作为电子投标文件组成部分的其他内容（若有）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10.3电子投标文件的语言</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（1）除招标文件另有规定外，电子投标文件应使用中文文本，若有不同文本，以中文文本为准。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10.4投标文件的份数：详见招标文件第二章。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10.5电子投标文件的格式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（1）除招标文件另有规定外，电子投标文件应使用招标文件第七章规定的格式。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（2）除招标文件另有规定外，电子投标文件应使用不能擦去的墨料或墨水打印、书写或复印。</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（3）除招标文件另有规定外，电子投标文件应使用人民币作为计量货币。</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（4）除招标文件另有规定外，签署、盖章应遵守下列规定：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①电子投标文件应加盖投标人的单位公章。若投标人代表为单位授权的委托代理人，应提供“单位授权书”。</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②电子投标文件应没有涂改或行间插字，除非这些改动是根据</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的指示进行的，或是为改正投标人造成的应修改的错误而进行的。若有前述改动，应按照下列规定之一对改动处进行处理：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a.投标人代表签字确认；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b.加盖投标人的单位公章或校正章。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10.6投标报价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（1）投标报价超出最高限价将导致投标无效。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（2）最高限价由采购人根据价格测算情况，在预算金额的额度内合理设定。最高限价不得超出预算金额。</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（3）除招标文件另有规定外，电子投标文件不能出现任何选择性的投标报价，即每一个采购包和品目号的采购标的都只能有一个投标报价。任何选择性的投标报价将导致投标无效。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10.7分包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（1）是否允许中标人将本项目的非主体、非关键性工作进行分包：详见招标文件第二章。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（3）招标文件允许中标人将非主体、非关键性工作进行分包的项目，有下列情形之一的，中标人不得分包：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①电子投标文件中未载明分包承担主体；</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②电子投标文件载明的分包承担主体不具备相应资质条件；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③电子投标文件载明的分包承担主体拟再次分包；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④享受中小企业扶持政策获得政府采购合同的，小微企业不得将合同分包给大中型企业，中型企业不得将合同分包给大型企业。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10.8投标有效期</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（1）招标文件载明的投标有效期：详见招标文件第二章。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（2）电子投标文件承诺的投标有效期不得少于招标文件载明的投标有效期，否则投标无效。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（3）根据本次采购活动的需要，</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可于投标有效期届满之前书面要求投标人延长投标有效期，投标人应在</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10.9投标保证金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（1）投标保证金作为投标人按照招标文件规定履行相应投标责任、义务的约束及担保。</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（2）投标人以电子保函形式提交投标保证金的，保函的有效期应等于或长于电子投标文件承诺的投标有效期，否则投标无效。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（3）提交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①投标人以汇款形式缴纳投标保证金的，应从其银行账户（基本存款账户）按照下列方式：公对公转账方式向招标文件载明的投标保证金账户提交投标保证金，具体金额详见招标文件第一章。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③若本项目接受联合体投标且投标人为联合体，则联合体中的牵头方应按照本章第10.9条第（3）款第①、②点规定提交投标保证金。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※除招标文件另有规定外，未按照上述规定提交投标保证金将导致资格审查不合格。</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（4）退还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①在投标截止时间前撤回已提交的电子投标文件的投标人，其投标保证金将在</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收到投标人书面撤回通知之日起5个工作日内退回原账户。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②未中标人的投标保证金将在中标通知书发出之日起5个工作日内退回原账户。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③中标人的投标保证金将在政府采购合同签订之日起5个工作日内退回原账户；合同签订之日以福建省政府采购网上公开信息系统记载的为准。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④终止招标的，</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将在终止公告发布之日起5个工作日内退回已收取的投标保证金及其在银行产生的孳息。</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⑤除招标文件另有规定外，质疑或投诉涉及的投标人，若投标保证金尚未退还，则待质疑或投诉处理完毕后不计利息原额退还。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※本章第10.9条第（4）款第①、②、③点规定的投标保证金退还时限不包括因投标人自身原因导致无法及时退还而增加的时间。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（6）有下列情形之一的，投标保证金将不予退还或通过投标保函进行索赔：</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①投标人串通投标；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②投标人提供虚假材料；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③投标人采取不正当手段诋毁、排挤其他投标人；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④投标截止时间后，投标人在投标有效期内撤销电子投标文件；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⑤招标文件规定的其他不予退还情形；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⑥中标人有下列情形之一的：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a.除不可抗力外，因中标人自身原因未在中标通知书要求的期限内与采购人签订政府采购合同；</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b.未按照招标文件、投标文件的约定签订政府采购合同或提交履约保证金。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※若上述投标保证金不予退还情形给采购人（采购代理机构）造成损失，则投标人还要承担相应的赔偿责任。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10.10电子投标文件的提交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（1）一个投标人只能提交一个电子投标文件，并按照招标文件第一章规定在系统上完成上传、解密操作。</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10.11电子投标文件的补充、修改或撤回</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（1）投标截止时间前，投标人可对所提交的电子投标文件进行补充、修改或撤回，并书面通知</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（2）补充、修改的内容应按照本章第10.5条第（4）款规定进行签署、盖章，并按照本章第10.10条规定提交，否则将被拒收。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※按照上述规定提交的补充、修改内容作为电子投标文件组成部分。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10.12除招标文件另有规定外，有下列情形之一的，投标无效：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（1）电子投标文件未按照招标文件要求签署、盖章；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（2）不符合招标文件中规定的资格要求；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（3）投标报价超过招标文件中规定的预算金额或最高限价；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（4）电子投标文件含有采购人不能接受的附加条件；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（5）有关法律、法规和规章及招标文件规定的其他无效情形。</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五、开标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11、开标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11.1</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将在招标文件载明的开标时间及地点主持召开开标会，并邀请投标人参加。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11.2开标会的主持人、唱标人、记录人及其他工作人员（若有）均由</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派出，现场监督人员（若有）可由有关方面派出。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11.4开标会应遵守下列规定：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（3）唱标结束后，参加现场开标会的投标人代表应对开标记录进行签字确认，通过远程参与开标流程的投标人须在系统远程签章开启后，在系统规定时间内对开标结果进行签章确认。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（5）若投标人未到开标现场参加开标会，也未通过远程参加开标会的，视同认可开标结果。</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提出任何疑义或要求（包括质疑）。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11.5投标截止时间后，参加投标的投标人不足三家的，不进行开标。同时，本次采购活动结束，</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将依法组织后续采购活动（包括但不限于：重新招标、采用其他方式采购等）。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11.6投标截止时间后撤销投标的处理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投标截止时间后，投标人在投标有效期内撤销投标的，其撤销投标的行为无效。</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六、中标与政府采购合同</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12、中标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12.1本项目推荐的中标候选人家数：详见招标文件第二章。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12.2本项目中标人的确定：详见招标文件第二章。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12.3中标公告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（1）中标人确定之日起2个工作日内，</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将在招标文件载明的指定媒体以中标公告的形式发布中标结果。</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（2）中标公告的公告期限为1个工作日。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12.4中标通知书</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（1）中标公告发布的同时，</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将向中标人发出中标通知书。</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（2）中标通知书发出后，采购人不得违法改变中标结果，中标人无正当理由不得放弃中标。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13、政府采购合同</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13.2签订时限：详见须知前附表1的13.2。</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13.3政府采购合同的履行、违约责任和解决争议的方法等适用民法典。</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13.4采购人与中标人应根据政府采购合同的约定依法履行合同义务。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13.5政府采购合同履行过程中，采购人若需追加与合同标的相同的货物或服务，则追加采购金额不得超过原合同采购金额的10%。</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13.6中标人在政府采购合同履行过程中应遵守有关法律、法规和规章的强制性规定（即使前述强制性规定有可能在招标文件中未予列明）。</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七、询问、质疑与投诉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14、询问</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14.1潜在投标人或投标人对本次采购活动的有关事项若有疑问，可向</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提出询问，</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将按照政府采购法及实施条例的有关规定进行答复。</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15、质疑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（1）对招标文件提出质疑的，质疑人应为潜在投标人，且两者的身份、名称等均应保持一致。对采购过程、结果提出质疑的，质疑人应为投标人，且两者的身份、名称等均应保持一致。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（2）质疑人应按照招标文件第二章规定方式提交质疑函。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（3）质疑函应包括下列主要内容：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①质疑人的基本信息，至少包括：全称、地址、邮政编码等；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②所质疑项目的基本信息，至少包括：项目编号、项目名称等；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③所质疑的具体事项（以下简称：“质疑事项”）；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④针对质疑事项提出的明确请求，前述明确请求指质疑人提出质疑的目的以及希望</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对其质疑作出的处理结果，如：暂停招标投标活动、修改招标文件、停止或纠正违法违规行为、中标结果无效、废标、重新招标等；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⑤针对质疑事项导致质疑人自身权益受到损害的必要证明材料，至少包括：</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a.质疑人代表的身份证明材料：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a2若本项目接受自然人投标且质疑人为自然人的，提供本人的身份证复印件。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b.其他证明材料（即事实依据和必要的法律依据）包括但不限于下列材料：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b1所质疑的具体事项是与自己有利害关系的证明材料；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b2质疑函所述事实存在的证明材料，如：采购文件、采购过程或中标结果违法违规或不符合采购文件要求等证明材料；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b3依法应终止采购程序的证明材料；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b4应重新采购的证明材料；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b5采购文件、采购过程或中标、成交结果损害自己合法权益的证明材料等；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⑥质疑人代表及其联系方法的信息，至少包括：姓名、手机、电子信箱、邮寄地址等。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⑦提出质疑的日期。</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※质疑人为法人或其他组织的，质疑函应由单位负责人或委托代理人签字或盖章，并加盖投标人的单位公章。质疑人为自然人的，质疑函应由本人签字。</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15.2对不符合本章第15.1条规定的质疑，将按照下列规定进行处理：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（1）不符合其中第（1）、（2）条规定的，书面告知质疑人不予受理及其理由。</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（2）不符合其中第（3）条规定的，书面告知质疑人修改、补充后在规定时限内重新提交质疑函。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15.3对符合本章第15.1条规定的质疑，将按照政府采购法及实施条例、政府采购质疑和投诉办法的有关规定进行答复。</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15.4招标文件的质疑：详见招标文件第二章。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16、投诉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16.2投诉应有明确的请求和必要的证明材料，投诉的事项不得超出已质疑事项的范围。</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八、政府采购政策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17、政府采购政策由财政部根据国家的经济和社会发展政策并会同国家有关部委制定，包括但不限于下列具体政策要求：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17.1进口产品指通过中国海关报关验放进入中国境内且产自关境外的产品，其中：</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（2）凡在海关特殊监管区域内企业生产或加工（包括从境外进口料件）销往境内其他地区的产品，不作为政府采购项下进口产品。</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（3）对从境外进入海关特殊监管区域，再经办理报关手续后从海关特殊监管区进入境内其他地区的产品，认定为进口产品。</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（4）招标文件列明不允许或未列明允许进口产品参加投标的，均视为拒绝进口产品参加投标。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（1）中小企业指符合下列条件的中型、小型、微型企业：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②符合中小企业划分标准的个体工商户，在政府采购活动中视同中小企业。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（2）在政府采购活动中，供应商提供的货物、工程或者服务符合下列情形的，享受本办法规定的中小企业扶持政策：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①在货物采购项目中，货物由中小企业制造，即货物由中小企业生产且使用该中小企业商号或者注册商标；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②在工程采购项目中，工程由中小企业承建，即工程施工单位为中小企业；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③在服务采购项目中，服务由中小企业承接，即提供服务的人员为中小企业依照《中华人民共和国劳动合同法》订立劳动合同的从业人员。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在货物采购项目中，供应商提供的货物既有中小企业制造货物，也有大型企业制造货物的，不享受本办法规定的中小企业扶持政策。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（3）投标人应当按照招标文件明确的采购标的对应行业的划分标准出具中小企业声明函。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①监狱企业参加采购活动时，应提供由省级以上监狱管理局、戒毒管理局（含新疆生产建设兵团）出具的属于监狱企业的证明文件。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②监狱企业视同小型、微型企业。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（5）残疾人福利性单位指同时符合下列条件的单位：</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①安置的残疾人占本单位在职职工人数的比例不低于25%（含25%），并且安置的残疾人人数不少于10人（含10人）；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②依法与安置的每位残疾人签订了一年以上（含一年）的劳动合同或服务协议；</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③为安置的每位残疾人按月足额缴纳了基本养老保险、基本医疗保险、失业保险、工伤保险和生育保险等社会保险费；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④通过银行等金融机构向安置的每位残疾人，按月支付了不低于单位所在区县适用的经省级人民政府批准的月最低工资标准的工资；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⑤提供本单位制造的货物、承担的工程或服务，或提供其他残疾人福利性单位制造的货物（不包括使用非残疾人福利性单位注册商标的货物）。</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17.5信用记录指由财政部确定的有关网站提供的相关主体信用信息。信用记录的查询及使用应符合财政部文件（财库[2016]125号）规定。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17.6为落实政府采购政策需满足的要求：详见招标文件第一章。</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九、本项目的有关信息</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18、本项目的有关信息，包括但不限于：招标公告、更正公告（若有）、招标文件、招标文件的澄清或修改（若有）、中标公告、终止公告（若有）、废标公告（若有）等都将在招标文件载明的指定媒体发布。</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18.1指定媒体：详见招标文件第二章。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18.2本项目的潜在投标人或投标人应随时关注指定媒体，否则产生不利后果由其自行承担。</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十、其他事项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19、其他事项：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19.1本项目中如涉及商品包装和快递包装的，其包装需求标准应不低于《关于印发〈商品包装政府采购需求标准(试行)〉、〈快递包装政府采购需求标准(试行)〉的通知》（财办库〔2020〕</w:t>
      </w:r>
      <w:r>
        <w:rPr>
          <w:rFonts w:hint="eastAsia" w:ascii="宋体" w:hAnsi="宋体" w:eastAsia="宋体" w:cs="宋体"/>
          <w:b/>
          <w:color w:val="000000" w:themeColor="text1"/>
          <w:sz w:val="24"/>
          <w:szCs w:val="24"/>
          <w:highlight w:val="none"/>
          <w14:textFill>
            <w14:solidFill>
              <w14:schemeClr w14:val="tx1"/>
            </w14:solidFill>
          </w14:textFill>
        </w:rPr>
        <w:tab/>
      </w:r>
      <w:r>
        <w:rPr>
          <w:rFonts w:hint="eastAsia" w:ascii="宋体" w:hAnsi="宋体" w:eastAsia="宋体" w:cs="宋体"/>
          <w:b/>
          <w:color w:val="000000" w:themeColor="text1"/>
          <w:sz w:val="24"/>
          <w:szCs w:val="24"/>
          <w:highlight w:val="none"/>
          <w14:textFill>
            <w14:solidFill>
              <w14:schemeClr w14:val="tx1"/>
            </w14:solidFill>
          </w14:textFill>
        </w:rPr>
        <w:tab/>
      </w:r>
      <w:r>
        <w:rPr>
          <w:rFonts w:hint="eastAsia" w:ascii="宋体" w:hAnsi="宋体" w:eastAsia="宋体" w:cs="宋体"/>
          <w:b/>
          <w:color w:val="000000" w:themeColor="text1"/>
          <w:sz w:val="24"/>
          <w:szCs w:val="24"/>
          <w:highlight w:val="none"/>
          <w14:textFill>
            <w14:solidFill>
              <w14:schemeClr w14:val="tx1"/>
            </w14:solidFill>
          </w14:textFill>
        </w:rPr>
        <w:t xml:space="preserve"> 123号）规定的包装要求，其他包装需求详见招标文件具体规定。采购人、中标人双方签订合同及验收环节，应包含上述包装要求的条款。</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19.2其他：详见招标文件第二章。</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 </w:t>
      </w:r>
    </w:p>
    <w:p>
      <w:pPr>
        <w:pStyle w:val="14"/>
        <w:jc w:val="center"/>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第四章 资格审查与评标</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一、资格审查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1、开标结束后，由</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负责资格审查小组的组建及资格审查工作的组织。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1.1资格审查小组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资格审查小组由3人组成，并负责具体审查事务，其中由采购人派出的采购人代表至少1人，由</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派出的工作人员至少1人，其余1人可为采购人代表或</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的工作人员。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1.2资格审查的依据是招标文件和电子投标文件。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1.3资格审查的范围及内容：电子投标文件（资格及资信证明部分），具体如下：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（2）“投标人的资格及资信证明文件”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①一般资格证明文件：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6"/>
        <w:gridCol w:w="2180"/>
        <w:gridCol w:w="54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资格审查要求概况</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单位授权书</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营业执照等证明文件</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提供财务状况报告(财务报告、或资信证明）</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依法缴纳税收证明材料</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依法缴纳社会保障资金证明材料</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具备履行合同所必需设备和专业技术能力的声明函(若有)</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参加采购活动前三年内在经营活动中没有重大违法记录的声明</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信用记录查询结果</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9</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中小企业声明函（以资格条件落实中小企业扶持政策时适用 ）</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w:t>
            </w:r>
          </w:p>
        </w:tc>
        <w:tc>
          <w:tcPr>
            <w:tcW w:w="21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联合体协议（若有）</w:t>
            </w:r>
          </w:p>
        </w:tc>
        <w:tc>
          <w:tcPr>
            <w:tcW w:w="54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①招标文件接受联合体投标且投标人为联合体的，投标人应提供本协议；否则无须提供。 ②本协议由委托代理人签字或盖章的，应按照招标文件第七章载明的格式提供“单位授权书”。</w:t>
            </w: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※备注说明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①投标人应根据自身实际情况提供上述资格要求的证明材料，格式可参考招标文件第七章提供。</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②投标人提供的相应证明材料复印件均应符合：内容完整、清晰、整洁，并由投标人加盖其单位公章。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②.其他资格证明文件：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26"/>
        <w:gridCol w:w="60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26" w:type="dxa"/>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资格审查要求概况</w:t>
            </w:r>
          </w:p>
        </w:tc>
        <w:tc>
          <w:tcPr>
            <w:tcW w:w="6080" w:type="dxa"/>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26" w:type="dxa"/>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3C、节能、信息安全产品</w:t>
            </w:r>
          </w:p>
        </w:tc>
        <w:tc>
          <w:tcPr>
            <w:tcW w:w="6080" w:type="dxa"/>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除招标文件规定需要提供3C认证、强制节能、信息安全产品等以外，投标人所投产品有属国家强制性规定的，须承诺其所投产品符合国家强制性要求。</w:t>
            </w:r>
            <w:r>
              <w:rPr>
                <w:rFonts w:hint="eastAsia" w:ascii="宋体" w:hAnsi="宋体" w:eastAsia="宋体" w:cs="宋体"/>
                <w:color w:val="000000" w:themeColor="text1"/>
                <w:sz w:val="24"/>
                <w:szCs w:val="24"/>
                <w:highlight w:val="none"/>
                <w:lang w:eastAsia="zh-CN"/>
                <w14:textFill>
                  <w14:solidFill>
                    <w14:schemeClr w14:val="tx1"/>
                  </w14:solidFill>
                </w14:textFill>
              </w:rPr>
              <w:t>提供承诺函，格式自拟。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26" w:type="dxa"/>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单位负责人授权书</w:t>
            </w:r>
          </w:p>
        </w:tc>
        <w:tc>
          <w:tcPr>
            <w:tcW w:w="6080" w:type="dxa"/>
            <w:vAlign w:val="top"/>
          </w:tcPr>
          <w:p>
            <w:pPr>
              <w:pStyle w:val="14"/>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参加投标的投标人代表需手持本人身份证原件及CA认证卡（数字证书）用于现场解密电子版响应文件。如果投标人代表不是单位负责人，投标人代表还需手持《单位负责人授权书》（附单位负责人身份证及被授权人身份证正反面复印件）以便现场核查。</w:t>
            </w:r>
          </w:p>
        </w:tc>
      </w:tr>
    </w:tbl>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（3）投标保证金。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1.4有下列情形之一的，资格审查不合格：</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未按照招标文件规定提交投标函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未按照招标文件规定提交投标人的资格及资信文件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未按照招标文件规定提交投标保证金</w:t>
            </w:r>
          </w:p>
        </w:tc>
      </w:tr>
    </w:tbl>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资格审查不合格项：无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2、资格审查情况不得私自外泄，有关信息由</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统一对外发布。</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3、资格审查合格的投标人不足三家的，不进行评标。同时，本次采购活动结束，</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将依法组织后续采购活动（包括但不限于：重新招标、采用其他方式采购等）。</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二、评标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4、资格审查结束后，由</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负责评标委员会的组建及评标工作的组织。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5、评标委员会</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由采购人代表和评审专家两部分共</w:t>
      </w:r>
      <w:r>
        <w:rPr>
          <w:rFonts w:hint="eastAsia" w:ascii="宋体" w:hAnsi="宋体" w:eastAsia="宋体" w:cs="宋体"/>
          <w:b/>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color w:val="000000" w:themeColor="text1"/>
          <w:sz w:val="24"/>
          <w:szCs w:val="24"/>
          <w:highlight w:val="none"/>
          <w14:textFill>
            <w14:solidFill>
              <w14:schemeClr w14:val="tx1"/>
            </w14:solidFill>
          </w14:textFill>
        </w:rPr>
        <w:t>人组成，其中由福建省政府采购评审专家库产生的评审专家</w:t>
      </w:r>
      <w:r>
        <w:rPr>
          <w:rFonts w:hint="eastAsia" w:ascii="宋体" w:hAnsi="宋体" w:eastAsia="宋体" w:cs="宋体"/>
          <w:b/>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color w:val="000000" w:themeColor="text1"/>
          <w:sz w:val="24"/>
          <w:szCs w:val="24"/>
          <w:highlight w:val="none"/>
          <w14:textFill>
            <w14:solidFill>
              <w14:schemeClr w14:val="tx1"/>
            </w14:solidFill>
          </w14:textFill>
        </w:rPr>
        <w:t>人，由采购人派出的采购人代表</w:t>
      </w:r>
      <w:r>
        <w:rPr>
          <w:rFonts w:hint="eastAsia" w:ascii="宋体" w:hAnsi="宋体" w:eastAsia="宋体" w:cs="宋体"/>
          <w:b/>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color w:val="000000" w:themeColor="text1"/>
          <w:sz w:val="24"/>
          <w:szCs w:val="24"/>
          <w:highlight w:val="none"/>
          <w14:textFill>
            <w14:solidFill>
              <w14:schemeClr w14:val="tx1"/>
            </w14:solidFill>
          </w14:textFill>
        </w:rPr>
        <w:t>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5.2评标委员会负责具体评标事务，并按照下列原则依法独立履行有关职责：</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（1）评标应保护国家利益、社会公共利益和各方当事人合法权益，提高采购效益，保证项目质量。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（2）评标应遵循公平、公正、科学、严谨和择优原则。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（3）评标的依据是招标文件和电子投标文件。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（4）应按照招标文件规定推荐中标候选人或确定中标人。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（5）评标应遵守下列评标纪律：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①评标情况不得私自外泄，有关信息由</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统一对外发布。</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②对</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或投标人提供的要求保密的资料，不得摘记翻印和外传。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③不得收受投标人或有关人员的任何礼物，不得串联鼓动其他人袒护某投标人。若与投标人存在利害关系，则应主动声明并回避。</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④全体评委应按照招标文件规定进行评标，一切认定事项应查有实据且不得弄虚作假。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⑤评标中应充分发扬民主，推荐中标候选人或确定中标人后要服从评标报告。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※对违反评标纪律的评委，将取消其评委资格，对评标工作造成严重损失者将予以通报批评乃至追究法律责任。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6、评标程序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6.1评标前的准备工作</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（1）全体评委应认真审阅招标文件，了解评委应履行或遵守的职责、义务和评标纪律。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（2）参加评标委员会的采购人代表可对本项目的背景和采购需求进行介绍，介绍材料应以书面形式提交（随采购文件一并存档），介绍内容不得含有歧视性、倾向性意见，不得超出招标文件所述范围。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6.2符合性审查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（1）评标委员会依据招标文件的实质性要求，对通过资格审查的电子投标文件进行符合性审查，以确定其是否满足招标文件的实质性要求。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（2）满足招标文件的实质性要求指电子投标文件对招标文件实质性要求的响应不存在重大偏差或保留。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（5）评标委员会对所有投标人都执行相同的程序和标准。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（6）有下列情形之一的，符合性审查不合格：</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①项目一般情形：</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3115"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符合审查要求概况</w:t>
            </w:r>
          </w:p>
        </w:tc>
        <w:tc>
          <w:tcPr>
            <w:tcW w:w="4153"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3115"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情形1</w:t>
            </w:r>
          </w:p>
        </w:tc>
        <w:tc>
          <w:tcPr>
            <w:tcW w:w="4153"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3115"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情形2</w:t>
            </w:r>
          </w:p>
        </w:tc>
        <w:tc>
          <w:tcPr>
            <w:tcW w:w="4153"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3115"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情形3</w:t>
            </w:r>
          </w:p>
        </w:tc>
        <w:tc>
          <w:tcPr>
            <w:tcW w:w="4153"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投标文件对招标文件实质性要求的响应存在重大偏离或保留。</w:t>
            </w: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②本项目规定的其他情形：</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采购包1：</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技术符合性</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06"/>
        <w:gridCol w:w="66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06"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情形</w:t>
            </w:r>
          </w:p>
        </w:tc>
        <w:tc>
          <w:tcPr>
            <w:tcW w:w="6600"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06"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其他情形</w:t>
            </w:r>
          </w:p>
        </w:tc>
        <w:tc>
          <w:tcPr>
            <w:tcW w:w="6600"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1、技术部分的实际得分低于技术部分总分50%的按无效投标处理。 2、投标文件的技术部分中出现报价部分的全部或部分的投标报价信息（或组成资料），按无效投标处理。</w:t>
            </w:r>
          </w:p>
        </w:tc>
      </w:tr>
    </w:tbl>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商务符合性</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96"/>
        <w:gridCol w:w="66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96"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情形</w:t>
            </w:r>
          </w:p>
        </w:tc>
        <w:tc>
          <w:tcPr>
            <w:tcW w:w="6610"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96"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其他情形</w:t>
            </w:r>
          </w:p>
        </w:tc>
        <w:tc>
          <w:tcPr>
            <w:tcW w:w="6610" w:type="dxa"/>
          </w:tcPr>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投标人在投标文件中对招标文件第五章招标内容及要求“三、商务条件”中各项条款必须逐条响应，未逐条响应或任一项响应负偏离均视为未响应招标文件实质性要求，按商务符合性审查不合格，作无效投标处理。 2、投标文件的商务部分中出现报价部分的全部或部分的投标报价信息（或组成资料），按无效投标处理。 </w:t>
            </w:r>
          </w:p>
        </w:tc>
      </w:tr>
    </w:tbl>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附加符合性：无</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价格符合性</w:t>
      </w:r>
    </w:p>
    <w:p>
      <w:pPr>
        <w:pStyle w:val="14"/>
        <w:ind w:firstLine="480"/>
        <w:jc w:val="both"/>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6.3澄清有关问题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（1）对通过符合性审查的电子投标文件中含义不明确、同类问题表述不一致或有明显文字和计算错误的内容，评标委员会将以书面形式要求投标人作出必要的澄清、说明或补正。</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（3）电子投标文件报价出现前后不一致的，除招标文件另有规定外，按照下列规定修正：</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①开标一览表内容与电子投标文件中相应内容不一致的，以开标一览表为准；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②大写金额和小写金额不一致的，以大写金额为准；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③单价金额小数点或百分比有明显错位的，以开标一览表的总价为准，并修改单价；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④总价金额与按照单价汇总金额不一致的，以单价金额计算结果为准。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※同时出现两种以上不一致的，按照前款规定的顺序修正。修正后的报价应按照本章第6.3条第（1）、（2）款规定经投标人确认后产生约束力，投标人不确认的，其投标无效。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（4）关于细微偏差</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②评标委员会将以书面形式要求存在细微偏差的投标人在评标委员会规定的时间内予以补正。若无法补正，则评标委员会将按照不利于投标人的内容进行认定。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（5）关于投标描述（即电子投标文件中描述的内容）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①投标描述前后不一致且不涉及证明材料的：按照本章第6.3条第（1）、（2）款规定执行。</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②投标描述与证明材料不一致或多份证明材料之间不一致的：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a.评标委员会将要求投标人进行书面澄清，并按照不利于投标人的内容进行评标。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6.4比较与评价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（1）按照本章第7条载明的评标方法和标准，对符合性审查合格的电子投标文件进行比较与评价。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（2）关于相同品牌产品（政府采购服务类项目不适用本条款规定）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a.招标文件规定的方式：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b.招标文件未规定的，采取随机抽取方式确定，其他投标无效。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a.招标文件规定的方式：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b.招标文件未规定的，采取随机抽取方式确定，其他同品牌投标人不作为中标候选人。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③非单一产品采购项目，多家投标人提供的核心产品品牌相同的，按照本章第6.4条第（2）款第①、②规定处理。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（3）漏（缺）项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①招标文件中要求列入报价的费用（含配置、功能），漏（缺）项的报价视为已经包括在投标总价中。</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②对多报项及赠送项的价格评标时不予核减，全部进入评标价评议。</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6.5推荐中标候选人：详见本章第7.2条规定。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6.6编写评标报告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（1）评标报告由评标委员会负责编写。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（2）评标报告应包括下列内容：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①招标公告刊登的媒体名称、开标日期和地点；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②投标人名单和评标委员会成员名单；</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③评标方法和标准；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④开标记录和评标情况及说明，包括无效投标人名单及原因；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⑤评标结果，包括中标候选人名单或确定的中标人；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⑥其他需要说明的情况，包括但不限于：评标过程中投标人的澄清、说明或补正，评委更换等。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6.7评标委员会认为投标人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6.8评委对需要共同认定的事项存在争议的，应按照少数服从多数的原则进行认定。持不同意见的评委应在评标报告上签署不同意见及理由，否则视为同意评标报告。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6.9在评标过程中发现投标人有下列情形之一的，评标委员会应认定其投标无效，并书面报告本项目监督管理部门：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（1）恶意串通（包括但不限于招标文件第三章第9.7条规定情形）；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（2）妨碍其他投标人的竞争行为；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（3）损害采购人或其他投标人的合法权益。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6.10评标过程中，有下列情形之一的，应予废标：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（1）符合性审查合格的投标人不足三家的；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（2）有关法律、法规和规章规定废标的情形。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※若废标，则本次采购活动结束，</w:t>
      </w:r>
      <w:r>
        <w:rPr>
          <w:rFonts w:hint="eastAsia" w:ascii="宋体" w:hAnsi="宋体" w:eastAsia="宋体" w:cs="宋体"/>
          <w:b/>
          <w:color w:val="000000" w:themeColor="text1"/>
          <w:sz w:val="24"/>
          <w:szCs w:val="24"/>
          <w:highlight w:val="none"/>
          <w:lang w:eastAsia="zh-CN"/>
          <w14:textFill>
            <w14:solidFill>
              <w14:schemeClr w14:val="tx1"/>
            </w14:solidFill>
          </w14:textFill>
        </w:rPr>
        <w:t>福建科建工程咨询有限公司</w:t>
      </w:r>
      <w:r>
        <w:rPr>
          <w:rFonts w:hint="eastAsia" w:ascii="宋体" w:hAnsi="宋体" w:eastAsia="宋体" w:cs="宋体"/>
          <w:b/>
          <w:color w:val="000000" w:themeColor="text1"/>
          <w:sz w:val="24"/>
          <w:szCs w:val="24"/>
          <w:highlight w:val="none"/>
          <w14:textFill>
            <w14:solidFill>
              <w14:schemeClr w14:val="tx1"/>
            </w14:solidFill>
          </w14:textFill>
        </w:rPr>
        <w:t>将依法组织后续采购活动（包括但不限于：重新招标、采用其他方式采购等）。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7、评标方法和标准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7.1评标方法：</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采购包1：综合评分法</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7.2评标标准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采购包1：综合评分法</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（1）投标文件满足招标文件全部实质性要求，且按照评审因素的量化指标评审得分（即评标总得分）最高的投标人为中标候选人。</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各项评审因素的设置如下：</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价格项（F1×A1）满分为30.00分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价格扣除的规则如下：</w:t>
      </w:r>
    </w:p>
    <w:tbl>
      <w:tblPr>
        <w:tblStyle w:val="10"/>
        <w:tblW w:w="923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206"/>
        <w:gridCol w:w="1120"/>
        <w:gridCol w:w="860"/>
        <w:gridCol w:w="60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12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适用对象</w:t>
            </w:r>
          </w:p>
        </w:tc>
        <w:tc>
          <w:tcPr>
            <w:tcW w:w="86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比例</w:t>
            </w:r>
          </w:p>
        </w:tc>
        <w:tc>
          <w:tcPr>
            <w:tcW w:w="605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0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小型、微型企业，监狱企业，残疾人福利性单位</w:t>
            </w:r>
          </w:p>
        </w:tc>
        <w:tc>
          <w:tcPr>
            <w:tcW w:w="112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投标人或者联合体均为小型、微型企业</w:t>
            </w:r>
          </w:p>
        </w:tc>
        <w:tc>
          <w:tcPr>
            <w:tcW w:w="860" w:type="dxa"/>
          </w:tcPr>
          <w:p>
            <w:pPr>
              <w:pStyle w:val="1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15.00%</w:t>
            </w:r>
          </w:p>
        </w:tc>
        <w:tc>
          <w:tcPr>
            <w:tcW w:w="605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5%），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2%）。（3）大中型企业向小微企业分包的，可给予价格扣除（货物或服务给予5%，工程项目2%）。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5%））；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根据工信部联企业〔2011〕300号划分本项目为“（二）工业”。</w:t>
            </w:r>
          </w:p>
        </w:tc>
      </w:tr>
    </w:tbl>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其他：无</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技术项（F2×A2）满分为</w:t>
      </w:r>
      <w:r>
        <w:rPr>
          <w:rFonts w:hint="eastAsia" w:ascii="宋体" w:hAnsi="宋体" w:eastAsia="宋体" w:cs="宋体"/>
          <w:b/>
          <w:color w:val="000000" w:themeColor="text1"/>
          <w:sz w:val="24"/>
          <w:szCs w:val="24"/>
          <w:highlight w:val="none"/>
          <w:lang w:val="en-US" w:eastAsia="zh-CN"/>
          <w14:textFill>
            <w14:solidFill>
              <w14:schemeClr w14:val="tx1"/>
            </w14:solidFill>
          </w14:textFill>
        </w:rPr>
        <w:t>55</w:t>
      </w:r>
      <w:r>
        <w:rPr>
          <w:rFonts w:hint="eastAsia" w:ascii="宋体" w:hAnsi="宋体" w:eastAsia="宋体" w:cs="宋体"/>
          <w:b/>
          <w:color w:val="000000" w:themeColor="text1"/>
          <w:sz w:val="24"/>
          <w:szCs w:val="24"/>
          <w:highlight w:val="none"/>
          <w14:textFill>
            <w14:solidFill>
              <w14:schemeClr w14:val="tx1"/>
            </w14:solidFill>
          </w14:textFill>
        </w:rPr>
        <w:t>.00分</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tbl>
      <w:tblPr>
        <w:tblStyle w:val="10"/>
        <w:tblW w:w="926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46"/>
        <w:gridCol w:w="960"/>
        <w:gridCol w:w="65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4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96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56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4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1、技术</w:t>
            </w:r>
            <w:r>
              <w:rPr>
                <w:rFonts w:hint="eastAsia" w:ascii="宋体" w:hAnsi="宋体" w:eastAsia="宋体" w:cs="宋体"/>
                <w:b/>
                <w:color w:val="000000" w:themeColor="text1"/>
                <w:sz w:val="24"/>
                <w:szCs w:val="24"/>
                <w:highlight w:val="none"/>
                <w:lang w:eastAsia="zh-CN"/>
                <w14:textFill>
                  <w14:solidFill>
                    <w14:schemeClr w14:val="tx1"/>
                  </w14:solidFill>
                </w14:textFill>
              </w:rPr>
              <w:t>响应</w:t>
            </w:r>
            <w:r>
              <w:rPr>
                <w:rFonts w:hint="eastAsia" w:ascii="宋体" w:hAnsi="宋体" w:eastAsia="宋体" w:cs="宋体"/>
                <w:b/>
                <w:color w:val="000000" w:themeColor="text1"/>
                <w:sz w:val="24"/>
                <w:szCs w:val="24"/>
                <w:highlight w:val="none"/>
                <w14:textFill>
                  <w14:solidFill>
                    <w14:schemeClr w14:val="tx1"/>
                  </w14:solidFill>
                </w14:textFill>
              </w:rPr>
              <w:t>情况</w:t>
            </w:r>
          </w:p>
        </w:tc>
        <w:tc>
          <w:tcPr>
            <w:tcW w:w="960" w:type="dxa"/>
            <w:vAlign w:val="center"/>
          </w:tcPr>
          <w:p>
            <w:pPr>
              <w:pStyle w:val="14"/>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47.35</w:t>
            </w:r>
          </w:p>
        </w:tc>
        <w:tc>
          <w:tcPr>
            <w:tcW w:w="6560" w:type="dxa"/>
          </w:tcPr>
          <w:p>
            <w:pPr>
              <w:widowControl/>
              <w:ind w:left="0" w:leftChars="0" w:firstLine="0" w:firstLineChars="0"/>
              <w:jc w:val="left"/>
              <w:rPr>
                <w:rFonts w:hint="eastAsia" w:ascii="新宋体" w:hAnsi="新宋体" w:eastAsia="新宋体" w:cs="宋体"/>
                <w:b/>
                <w:bCs/>
                <w:color w:val="000000" w:themeColor="text1"/>
                <w:kern w:val="0"/>
                <w:sz w:val="24"/>
                <w:highlight w:val="none"/>
                <w14:textFill>
                  <w14:solidFill>
                    <w14:schemeClr w14:val="tx1"/>
                  </w14:solidFill>
                </w14:textFill>
              </w:rPr>
            </w:pPr>
            <w:r>
              <w:rPr>
                <w:rFonts w:hint="eastAsia" w:ascii="新宋体" w:hAnsi="新宋体" w:eastAsia="新宋体" w:cs="宋体"/>
                <w:b/>
                <w:bCs/>
                <w:color w:val="000000" w:themeColor="text1"/>
                <w:kern w:val="0"/>
                <w:sz w:val="24"/>
                <w:highlight w:val="none"/>
                <w14:textFill>
                  <w14:solidFill>
                    <w14:schemeClr w14:val="tx1"/>
                  </w14:solidFill>
                </w14:textFill>
              </w:rPr>
              <w:t>根据各投标人所投货物技术性能、功能以及对招标文件第</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五</w:t>
            </w:r>
            <w:r>
              <w:rPr>
                <w:rFonts w:hint="eastAsia" w:ascii="新宋体" w:hAnsi="新宋体" w:eastAsia="新宋体" w:cs="宋体"/>
                <w:b/>
                <w:bCs/>
                <w:color w:val="000000" w:themeColor="text1"/>
                <w:kern w:val="0"/>
                <w:sz w:val="24"/>
                <w:highlight w:val="none"/>
                <w14:textFill>
                  <w14:solidFill>
                    <w14:schemeClr w14:val="tx1"/>
                  </w14:solidFill>
                </w14:textFill>
              </w:rPr>
              <w:t>章</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招标</w:t>
            </w:r>
            <w:r>
              <w:rPr>
                <w:rFonts w:hint="eastAsia" w:ascii="新宋体" w:hAnsi="新宋体" w:eastAsia="新宋体" w:cs="宋体"/>
                <w:b/>
                <w:bCs/>
                <w:color w:val="000000" w:themeColor="text1"/>
                <w:kern w:val="0"/>
                <w:sz w:val="24"/>
                <w:highlight w:val="none"/>
                <w14:textFill>
                  <w14:solidFill>
                    <w14:schemeClr w14:val="tx1"/>
                  </w14:solidFill>
                </w14:textFill>
              </w:rPr>
              <w:t>内容及要求</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二</w:t>
            </w:r>
            <w:r>
              <w:rPr>
                <w:rFonts w:hint="eastAsia" w:ascii="新宋体" w:hAnsi="新宋体" w:eastAsia="新宋体" w:cs="宋体"/>
                <w:b/>
                <w:bCs/>
                <w:color w:val="000000" w:themeColor="text1"/>
                <w:kern w:val="0"/>
                <w:sz w:val="24"/>
                <w:highlight w:val="none"/>
                <w14:textFill>
                  <w14:solidFill>
                    <w14:schemeClr w14:val="tx1"/>
                  </w14:solidFill>
                </w14:textFill>
              </w:rPr>
              <w:t>、技术</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和服务</w:t>
            </w:r>
            <w:r>
              <w:rPr>
                <w:rFonts w:hint="eastAsia" w:ascii="新宋体" w:hAnsi="新宋体" w:eastAsia="新宋体" w:cs="宋体"/>
                <w:b/>
                <w:bCs/>
                <w:color w:val="000000" w:themeColor="text1"/>
                <w:kern w:val="0"/>
                <w:sz w:val="24"/>
                <w:highlight w:val="none"/>
                <w14:textFill>
                  <w14:solidFill>
                    <w14:schemeClr w14:val="tx1"/>
                  </w14:solidFill>
                </w14:textFill>
              </w:rPr>
              <w:t>要求中</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（三）技术要求、</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lang w:eastAsia="zh-CN"/>
                <w14:textFill>
                  <w14:solidFill>
                    <w14:schemeClr w14:val="tx1"/>
                  </w14:solidFill>
                </w14:textFill>
              </w:rPr>
              <w:t>其他要求</w:t>
            </w:r>
            <w:r>
              <w:rPr>
                <w:rFonts w:hint="eastAsia" w:ascii="新宋体" w:hAnsi="新宋体" w:eastAsia="新宋体" w:cs="宋体"/>
                <w:b/>
                <w:bCs/>
                <w:color w:val="000000" w:themeColor="text1"/>
                <w:kern w:val="0"/>
                <w:sz w:val="24"/>
                <w:highlight w:val="none"/>
                <w14:textFill>
                  <w14:solidFill>
                    <w14:schemeClr w14:val="tx1"/>
                  </w14:solidFill>
                </w14:textFill>
              </w:rPr>
              <w:t>条款的偏离情况进行评分，技术要求须逐项响应承诺。技术参数完全满足要求的得</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47.35</w:t>
            </w:r>
            <w:r>
              <w:rPr>
                <w:rFonts w:hint="eastAsia" w:ascii="新宋体" w:hAnsi="新宋体" w:eastAsia="新宋体" w:cs="宋体"/>
                <w:b/>
                <w:bCs/>
                <w:color w:val="000000" w:themeColor="text1"/>
                <w:kern w:val="0"/>
                <w:sz w:val="24"/>
                <w:highlight w:val="none"/>
                <w14:textFill>
                  <w14:solidFill>
                    <w14:schemeClr w14:val="tx1"/>
                  </w14:solidFill>
                </w14:textFill>
              </w:rPr>
              <w:t>分。</w:t>
            </w:r>
          </w:p>
          <w:p>
            <w:pPr>
              <w:widowControl/>
              <w:ind w:left="0" w:leftChars="0" w:firstLine="0" w:firstLineChars="0"/>
              <w:jc w:val="left"/>
              <w:rPr>
                <w:rFonts w:hint="eastAsia" w:ascii="新宋体" w:hAnsi="新宋体" w:eastAsia="新宋体" w:cs="宋体"/>
                <w:b/>
                <w:bCs/>
                <w:color w:val="000000" w:themeColor="text1"/>
                <w:kern w:val="0"/>
                <w:sz w:val="24"/>
                <w:highlight w:val="none"/>
                <w:lang w:eastAsia="zh-CN"/>
                <w14:textFill>
                  <w14:solidFill>
                    <w14:schemeClr w14:val="tx1"/>
                  </w14:solidFill>
                </w14:textFill>
              </w:rPr>
            </w:pPr>
            <w:r>
              <w:rPr>
                <w:rFonts w:hint="eastAsia" w:ascii="新宋体" w:hAnsi="新宋体" w:eastAsia="新宋体" w:cs="宋体"/>
                <w:b/>
                <w:bCs/>
                <w:color w:val="000000" w:themeColor="text1"/>
                <w:kern w:val="0"/>
                <w:sz w:val="24"/>
                <w:highlight w:val="none"/>
                <w14:textFill>
                  <w14:solidFill>
                    <w14:schemeClr w14:val="tx1"/>
                  </w14:solidFill>
                </w14:textFill>
              </w:rPr>
              <w:t>①</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以“★”标示的条款（共计</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4项</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）为不允许负偏离的实质性要求，有一项负偏离按无效投标处理。</w:t>
            </w:r>
          </w:p>
          <w:p>
            <w:pPr>
              <w:pStyle w:val="2"/>
              <w:rPr>
                <w:rFonts w:hint="default"/>
                <w:color w:val="000000" w:themeColor="text1"/>
                <w:highlight w:val="none"/>
                <w:lang w:val="en-US" w:eastAsia="zh-CN"/>
                <w14:textFill>
                  <w14:solidFill>
                    <w14:schemeClr w14:val="tx1"/>
                  </w14:solidFill>
                </w14:textFill>
              </w:rPr>
            </w:pPr>
            <w:r>
              <w:rPr>
                <w:rFonts w:hint="eastAsia" w:ascii="新宋体" w:hAnsi="新宋体" w:eastAsia="新宋体" w:cs="宋体"/>
                <w:b/>
                <w:bCs/>
                <w:color w:val="000000" w:themeColor="text1"/>
                <w:kern w:val="0"/>
                <w:sz w:val="24"/>
                <w:highlight w:val="none"/>
                <w:lang w:eastAsia="zh-CN"/>
                <w14:textFill>
                  <w14:solidFill>
                    <w14:schemeClr w14:val="tx1"/>
                  </w14:solidFill>
                </w14:textFill>
              </w:rPr>
              <w:t>②以“▲”标示的条款（共计</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8项，总分12分</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）为关键技术指标，每负偏离一项扣</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1.5分，扣完为止。正偏离不加分。</w:t>
            </w:r>
          </w:p>
          <w:p>
            <w:pPr>
              <w:widowControl/>
              <w:ind w:left="0" w:leftChars="0" w:firstLine="0" w:firstLineChars="0"/>
              <w:jc w:val="left"/>
              <w:rPr>
                <w:rFonts w:hint="eastAsia" w:ascii="新宋体" w:hAnsi="新宋体" w:eastAsia="新宋体" w:cs="宋体"/>
                <w:b/>
                <w:bCs/>
                <w:color w:val="000000" w:themeColor="text1"/>
                <w:kern w:val="0"/>
                <w:sz w:val="24"/>
                <w:highlight w:val="none"/>
                <w14:textFill>
                  <w14:solidFill>
                    <w14:schemeClr w14:val="tx1"/>
                  </w14:solidFill>
                </w14:textFill>
              </w:rPr>
            </w:pPr>
            <w:r>
              <w:rPr>
                <w:rFonts w:hint="eastAsia" w:ascii="新宋体" w:hAnsi="新宋体" w:eastAsia="新宋体" w:cs="宋体"/>
                <w:b/>
                <w:bCs/>
                <w:color w:val="000000" w:themeColor="text1"/>
                <w:kern w:val="0"/>
                <w:sz w:val="24"/>
                <w:highlight w:val="none"/>
                <w:lang w:eastAsia="zh-CN"/>
                <w14:textFill>
                  <w14:solidFill>
                    <w14:schemeClr w14:val="tx1"/>
                  </w14:solidFill>
                </w14:textFill>
              </w:rPr>
              <w:t>③其他条款</w:t>
            </w:r>
            <w:r>
              <w:rPr>
                <w:rFonts w:hint="eastAsia" w:ascii="新宋体" w:hAnsi="新宋体" w:eastAsia="新宋体" w:cs="宋体"/>
                <w:b/>
                <w:bCs/>
                <w:color w:val="000000" w:themeColor="text1"/>
                <w:kern w:val="0"/>
                <w:sz w:val="24"/>
                <w:highlight w:val="none"/>
                <w14:textFill>
                  <w14:solidFill>
                    <w14:schemeClr w14:val="tx1"/>
                  </w14:solidFill>
                </w14:textFill>
              </w:rPr>
              <w:t>每负偏离一项扣0.</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07</w:t>
            </w:r>
            <w:r>
              <w:rPr>
                <w:rFonts w:hint="eastAsia" w:ascii="新宋体" w:hAnsi="新宋体" w:eastAsia="新宋体" w:cs="宋体"/>
                <w:b/>
                <w:bCs/>
                <w:color w:val="000000" w:themeColor="text1"/>
                <w:kern w:val="0"/>
                <w:sz w:val="24"/>
                <w:highlight w:val="none"/>
                <w14:textFill>
                  <w14:solidFill>
                    <w14:schemeClr w14:val="tx1"/>
                  </w14:solidFill>
                </w14:textFill>
              </w:rPr>
              <w:t>分，扣完为止，以序号</w:t>
            </w:r>
            <w:r>
              <w:rPr>
                <w:rFonts w:ascii="新宋体" w:hAnsi="新宋体" w:eastAsia="新宋体" w:cs="宋体"/>
                <w:b/>
                <w:bCs/>
                <w:color w:val="000000" w:themeColor="text1"/>
                <w:kern w:val="0"/>
                <w:sz w:val="24"/>
                <w:highlight w:val="none"/>
                <w14:textFill>
                  <w14:solidFill>
                    <w14:schemeClr w14:val="tx1"/>
                  </w14:solidFill>
                </w14:textFill>
              </w:rPr>
              <w:t>1</w:t>
            </w:r>
            <w:r>
              <w:rPr>
                <w:rFonts w:hint="eastAsia" w:ascii="新宋体" w:hAnsi="新宋体" w:eastAsia="新宋体" w:cs="宋体"/>
                <w:b/>
                <w:bCs/>
                <w:color w:val="000000" w:themeColor="text1"/>
                <w:kern w:val="0"/>
                <w:sz w:val="24"/>
                <w:highlight w:val="none"/>
                <w14:textFill>
                  <w14:solidFill>
                    <w14:schemeClr w14:val="tx1"/>
                  </w14:solidFill>
                </w14:textFill>
              </w:rPr>
              <w:t>、</w:t>
            </w:r>
            <w:r>
              <w:rPr>
                <w:rFonts w:ascii="新宋体" w:hAnsi="新宋体" w:eastAsia="新宋体" w:cs="宋体"/>
                <w:b/>
                <w:bCs/>
                <w:color w:val="000000" w:themeColor="text1"/>
                <w:kern w:val="0"/>
                <w:sz w:val="24"/>
                <w:highlight w:val="none"/>
                <w14:textFill>
                  <w14:solidFill>
                    <w14:schemeClr w14:val="tx1"/>
                  </w14:solidFill>
                </w14:textFill>
              </w:rPr>
              <w:t>2</w:t>
            </w:r>
            <w:r>
              <w:rPr>
                <w:rFonts w:hint="eastAsia" w:ascii="新宋体" w:hAnsi="新宋体" w:eastAsia="新宋体" w:cs="宋体"/>
                <w:b/>
                <w:bCs/>
                <w:color w:val="000000" w:themeColor="text1"/>
                <w:kern w:val="0"/>
                <w:sz w:val="24"/>
                <w:highlight w:val="none"/>
                <w14:textFill>
                  <w14:solidFill>
                    <w14:schemeClr w14:val="tx1"/>
                  </w14:solidFill>
                </w14:textFill>
              </w:rPr>
              <w:t>、</w:t>
            </w:r>
            <w:r>
              <w:rPr>
                <w:rFonts w:ascii="新宋体" w:hAnsi="新宋体" w:eastAsia="新宋体" w:cs="宋体"/>
                <w:b/>
                <w:bCs/>
                <w:color w:val="000000" w:themeColor="text1"/>
                <w:kern w:val="0"/>
                <w:sz w:val="24"/>
                <w:highlight w:val="none"/>
                <w14:textFill>
                  <w14:solidFill>
                    <w14:schemeClr w14:val="tx1"/>
                  </w14:solidFill>
                </w14:textFill>
              </w:rPr>
              <w:t>3</w:t>
            </w:r>
            <w:r>
              <w:rPr>
                <w:rFonts w:hint="eastAsia" w:ascii="新宋体" w:hAnsi="新宋体" w:eastAsia="新宋体" w:cs="宋体"/>
                <w:b/>
                <w:bCs/>
                <w:color w:val="000000" w:themeColor="text1"/>
                <w:kern w:val="0"/>
                <w:sz w:val="24"/>
                <w:highlight w:val="none"/>
                <w14:textFill>
                  <w14:solidFill>
                    <w14:schemeClr w14:val="tx1"/>
                  </w14:solidFill>
                </w14:textFill>
              </w:rPr>
              <w:t>……为一项进行计算（共计</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505</w:t>
            </w:r>
            <w:r>
              <w:rPr>
                <w:rFonts w:hint="eastAsia" w:ascii="新宋体" w:hAnsi="新宋体" w:eastAsia="新宋体" w:cs="宋体"/>
                <w:b/>
                <w:bCs/>
                <w:color w:val="000000" w:themeColor="text1"/>
                <w:kern w:val="0"/>
                <w:sz w:val="24"/>
                <w:highlight w:val="none"/>
                <w14:textFill>
                  <w14:solidFill>
                    <w14:schemeClr w14:val="tx1"/>
                  </w14:solidFill>
                </w14:textFill>
              </w:rPr>
              <w:t>项，总分</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35.35</w:t>
            </w:r>
            <w:r>
              <w:rPr>
                <w:rFonts w:hint="eastAsia" w:ascii="新宋体" w:hAnsi="新宋体" w:eastAsia="新宋体" w:cs="宋体"/>
                <w:b/>
                <w:bCs/>
                <w:color w:val="000000" w:themeColor="text1"/>
                <w:kern w:val="0"/>
                <w:sz w:val="24"/>
                <w:highlight w:val="none"/>
                <w14:textFill>
                  <w14:solidFill>
                    <w14:schemeClr w14:val="tx1"/>
                  </w14:solidFill>
                </w14:textFill>
              </w:rPr>
              <w:t>分），正偏离不加分。</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新宋体" w:hAnsi="新宋体" w:eastAsia="新宋体" w:cs="宋体"/>
                <w:b/>
                <w:bCs/>
                <w:color w:val="000000" w:themeColor="text1"/>
                <w:kern w:val="0"/>
                <w:sz w:val="24"/>
                <w:highlight w:val="none"/>
                <w:lang w:eastAsia="zh-CN"/>
                <w14:textFill>
                  <w14:solidFill>
                    <w14:schemeClr w14:val="tx1"/>
                  </w14:solidFill>
                </w14:textFill>
              </w:rPr>
              <w:t>招标</w:t>
            </w:r>
            <w:r>
              <w:rPr>
                <w:rFonts w:hint="eastAsia" w:ascii="新宋体" w:hAnsi="新宋体" w:eastAsia="新宋体" w:cs="宋体"/>
                <w:b/>
                <w:bCs/>
                <w:color w:val="000000" w:themeColor="text1"/>
                <w:kern w:val="0"/>
                <w:sz w:val="24"/>
                <w:highlight w:val="none"/>
                <w14:textFill>
                  <w14:solidFill>
                    <w14:schemeClr w14:val="tx1"/>
                  </w14:solidFill>
                </w14:textFill>
              </w:rPr>
              <w:t>文件中技术指标若有要求投标人提供相应佐证材料的，供应商未提供相应佐证材料或者供应商的响应承诺与其佐证材料不一致的，均视为负偏离。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46" w:type="dxa"/>
            <w:vAlign w:val="center"/>
          </w:tcPr>
          <w:p>
            <w:pPr>
              <w:pStyle w:val="14"/>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color w:val="000000" w:themeColor="text1"/>
                <w:sz w:val="24"/>
                <w:szCs w:val="24"/>
                <w:highlight w:val="none"/>
                <w14:textFill>
                  <w14:solidFill>
                    <w14:schemeClr w14:val="tx1"/>
                  </w14:solidFill>
                </w14:textFill>
              </w:rPr>
              <w:t>项目实施计划方案</w:t>
            </w:r>
          </w:p>
        </w:tc>
        <w:tc>
          <w:tcPr>
            <w:tcW w:w="960" w:type="dxa"/>
            <w:vAlign w:val="center"/>
          </w:tcPr>
          <w:p>
            <w:pPr>
              <w:pStyle w:val="14"/>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3</w:t>
            </w:r>
          </w:p>
        </w:tc>
        <w:tc>
          <w:tcPr>
            <w:tcW w:w="6560" w:type="dxa"/>
          </w:tcPr>
          <w:p>
            <w:pPr>
              <w:pStyle w:val="14"/>
              <w:jc w:val="both"/>
              <w:rPr>
                <w:rFonts w:hint="eastAsia" w:ascii="新宋体" w:hAnsi="新宋体" w:eastAsia="新宋体" w:cs="宋体"/>
                <w:b/>
                <w:bCs/>
                <w:color w:val="000000" w:themeColor="text1"/>
                <w:kern w:val="0"/>
                <w:sz w:val="24"/>
                <w:highlight w:val="none"/>
                <w14:textFill>
                  <w14:solidFill>
                    <w14:schemeClr w14:val="tx1"/>
                  </w14:solidFill>
                </w14:textFill>
              </w:rPr>
            </w:pPr>
            <w:r>
              <w:rPr>
                <w:rFonts w:hint="eastAsia" w:ascii="新宋体" w:hAnsi="新宋体" w:eastAsia="新宋体" w:cs="宋体"/>
                <w:b/>
                <w:bCs/>
                <w:color w:val="000000" w:themeColor="text1"/>
                <w:kern w:val="0"/>
                <w:sz w:val="24"/>
                <w:highlight w:val="none"/>
                <w14:textFill>
                  <w14:solidFill>
                    <w14:schemeClr w14:val="tx1"/>
                  </w14:solidFill>
                </w14:textFill>
              </w:rPr>
              <w:t>根据</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各</w:t>
            </w:r>
            <w:r>
              <w:rPr>
                <w:rFonts w:hint="eastAsia" w:ascii="新宋体" w:hAnsi="新宋体" w:eastAsia="新宋体" w:cs="宋体"/>
                <w:b/>
                <w:bCs/>
                <w:color w:val="000000" w:themeColor="text1"/>
                <w:kern w:val="0"/>
                <w:sz w:val="24"/>
                <w:highlight w:val="none"/>
                <w14:textFill>
                  <w14:solidFill>
                    <w14:schemeClr w14:val="tx1"/>
                  </w14:solidFill>
                </w14:textFill>
              </w:rPr>
              <w:t>投标人针对本项目特性所提供的本项目实施计划方案（包含但不限于：项目实施计划概述、项目实施计划进度安排表</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、适配方案、项目实施质量保障措施</w:t>
            </w:r>
            <w:r>
              <w:rPr>
                <w:rFonts w:hint="eastAsia" w:ascii="新宋体" w:hAnsi="新宋体" w:eastAsia="新宋体" w:cs="宋体"/>
                <w:b/>
                <w:bCs/>
                <w:color w:val="000000" w:themeColor="text1"/>
                <w:kern w:val="0"/>
                <w:sz w:val="24"/>
                <w:highlight w:val="none"/>
                <w14:textFill>
                  <w14:solidFill>
                    <w14:schemeClr w14:val="tx1"/>
                  </w14:solidFill>
                </w14:textFill>
              </w:rPr>
              <w:t>等）</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是否完善、合理</w:t>
            </w:r>
            <w:r>
              <w:rPr>
                <w:rFonts w:hint="eastAsia" w:ascii="新宋体" w:hAnsi="新宋体" w:eastAsia="新宋体" w:cs="宋体"/>
                <w:b/>
                <w:bCs/>
                <w:color w:val="000000" w:themeColor="text1"/>
                <w:kern w:val="0"/>
                <w:sz w:val="24"/>
                <w:highlight w:val="none"/>
                <w14:textFill>
                  <w14:solidFill>
                    <w14:schemeClr w14:val="tx1"/>
                  </w14:solidFill>
                </w14:textFill>
              </w:rPr>
              <w:t>由评委进行评分：①有提供</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实施计划方案</w:t>
            </w:r>
            <w:r>
              <w:rPr>
                <w:rFonts w:hint="eastAsia" w:ascii="新宋体" w:hAnsi="新宋体" w:eastAsia="新宋体" w:cs="宋体"/>
                <w:b/>
                <w:bCs/>
                <w:color w:val="000000" w:themeColor="text1"/>
                <w:kern w:val="0"/>
                <w:sz w:val="24"/>
                <w:highlight w:val="none"/>
                <w14:textFill>
                  <w14:solidFill>
                    <w14:schemeClr w14:val="tx1"/>
                  </w14:solidFill>
                </w14:textFill>
              </w:rPr>
              <w:t>的，符合项目需求的得</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1.5</w:t>
            </w:r>
            <w:r>
              <w:rPr>
                <w:rFonts w:hint="eastAsia" w:ascii="新宋体" w:hAnsi="新宋体" w:eastAsia="新宋体" w:cs="宋体"/>
                <w:b/>
                <w:bCs/>
                <w:color w:val="000000" w:themeColor="text1"/>
                <w:kern w:val="0"/>
                <w:sz w:val="24"/>
                <w:highlight w:val="none"/>
                <w14:textFill>
                  <w14:solidFill>
                    <w14:schemeClr w14:val="tx1"/>
                  </w14:solidFill>
                </w14:textFill>
              </w:rPr>
              <w:t>分；②在满足“①”的基础上，提供有利于项目实施、针对性强的得</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3</w:t>
            </w:r>
            <w:r>
              <w:rPr>
                <w:rFonts w:hint="eastAsia" w:ascii="新宋体" w:hAnsi="新宋体" w:eastAsia="新宋体" w:cs="宋体"/>
                <w:b/>
                <w:bCs/>
                <w:color w:val="000000" w:themeColor="text1"/>
                <w:kern w:val="0"/>
                <w:sz w:val="24"/>
                <w:highlight w:val="none"/>
                <w14:textFill>
                  <w14:solidFill>
                    <w14:schemeClr w14:val="tx1"/>
                  </w14:solidFill>
                </w14:textFill>
              </w:rPr>
              <w:t>分；</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③</w:t>
            </w:r>
            <w:r>
              <w:rPr>
                <w:rFonts w:hint="eastAsia" w:ascii="新宋体" w:hAnsi="新宋体" w:eastAsia="新宋体" w:cs="宋体"/>
                <w:b/>
                <w:bCs/>
                <w:color w:val="000000" w:themeColor="text1"/>
                <w:kern w:val="0"/>
                <w:sz w:val="24"/>
                <w:highlight w:val="none"/>
                <w14:textFill>
                  <w14:solidFill>
                    <w14:schemeClr w14:val="tx1"/>
                  </w14:solidFill>
                </w14:textFill>
              </w:rPr>
              <w:t>未提供或不符合上述情形的不得分。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746" w:type="dxa"/>
            <w:vAlign w:val="center"/>
          </w:tcPr>
          <w:p>
            <w:pPr>
              <w:pStyle w:val="14"/>
              <w:jc w:val="center"/>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3、安全管理及资源配置</w:t>
            </w:r>
          </w:p>
        </w:tc>
        <w:tc>
          <w:tcPr>
            <w:tcW w:w="960" w:type="dxa"/>
            <w:vAlign w:val="center"/>
          </w:tcPr>
          <w:p>
            <w:pPr>
              <w:pStyle w:val="14"/>
              <w:jc w:val="center"/>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2</w:t>
            </w:r>
          </w:p>
        </w:tc>
        <w:tc>
          <w:tcPr>
            <w:tcW w:w="6560" w:type="dxa"/>
          </w:tcPr>
          <w:p>
            <w:pPr>
              <w:pStyle w:val="14"/>
              <w:jc w:val="both"/>
              <w:rPr>
                <w:rFonts w:hint="eastAsia" w:ascii="新宋体" w:hAnsi="新宋体" w:eastAsia="新宋体" w:cs="宋体"/>
                <w:b/>
                <w:bCs/>
                <w:color w:val="000000" w:themeColor="text1"/>
                <w:kern w:val="0"/>
                <w:sz w:val="24"/>
                <w:highlight w:val="none"/>
                <w:lang w:eastAsia="zh-CN"/>
                <w14:textFill>
                  <w14:solidFill>
                    <w14:schemeClr w14:val="tx1"/>
                  </w14:solidFill>
                </w14:textFill>
              </w:rPr>
            </w:pPr>
            <w:r>
              <w:rPr>
                <w:rFonts w:hint="eastAsia" w:ascii="新宋体" w:hAnsi="新宋体" w:eastAsia="新宋体" w:cs="宋体"/>
                <w:b/>
                <w:bCs/>
                <w:color w:val="000000" w:themeColor="text1"/>
                <w:kern w:val="0"/>
                <w:sz w:val="24"/>
                <w:highlight w:val="none"/>
                <w14:textFill>
                  <w14:solidFill>
                    <w14:schemeClr w14:val="tx1"/>
                  </w14:solidFill>
                </w14:textFill>
              </w:rPr>
              <w:t>根据</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各</w:t>
            </w:r>
            <w:r>
              <w:rPr>
                <w:rFonts w:hint="eastAsia" w:ascii="新宋体" w:hAnsi="新宋体" w:eastAsia="新宋体" w:cs="宋体"/>
                <w:b/>
                <w:bCs/>
                <w:color w:val="000000" w:themeColor="text1"/>
                <w:kern w:val="0"/>
                <w:sz w:val="24"/>
                <w:highlight w:val="none"/>
                <w14:textFill>
                  <w14:solidFill>
                    <w14:schemeClr w14:val="tx1"/>
                  </w14:solidFill>
                </w14:textFill>
              </w:rPr>
              <w:t>投标人针对本项目特性所提供的</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安全保障措施、资源配置保障情况等是否完善、合理</w:t>
            </w:r>
            <w:r>
              <w:rPr>
                <w:rFonts w:hint="eastAsia" w:ascii="新宋体" w:hAnsi="新宋体" w:eastAsia="新宋体" w:cs="宋体"/>
                <w:b/>
                <w:bCs/>
                <w:color w:val="000000" w:themeColor="text1"/>
                <w:kern w:val="0"/>
                <w:sz w:val="24"/>
                <w:highlight w:val="none"/>
                <w14:textFill>
                  <w14:solidFill>
                    <w14:schemeClr w14:val="tx1"/>
                  </w14:solidFill>
                </w14:textFill>
              </w:rPr>
              <w:t>由评委进行评分：①有提供</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安全保障措施、资源配置保障等情况方案</w:t>
            </w:r>
            <w:r>
              <w:rPr>
                <w:rFonts w:hint="eastAsia" w:ascii="新宋体" w:hAnsi="新宋体" w:eastAsia="新宋体" w:cs="宋体"/>
                <w:b/>
                <w:bCs/>
                <w:color w:val="000000" w:themeColor="text1"/>
                <w:kern w:val="0"/>
                <w:sz w:val="24"/>
                <w:highlight w:val="none"/>
                <w14:textFill>
                  <w14:solidFill>
                    <w14:schemeClr w14:val="tx1"/>
                  </w14:solidFill>
                </w14:textFill>
              </w:rPr>
              <w:t>的，符合项目需求的得</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1</w:t>
            </w:r>
            <w:r>
              <w:rPr>
                <w:rFonts w:hint="eastAsia" w:ascii="新宋体" w:hAnsi="新宋体" w:eastAsia="新宋体" w:cs="宋体"/>
                <w:b/>
                <w:bCs/>
                <w:color w:val="000000" w:themeColor="text1"/>
                <w:kern w:val="0"/>
                <w:sz w:val="24"/>
                <w:highlight w:val="none"/>
                <w14:textFill>
                  <w14:solidFill>
                    <w14:schemeClr w14:val="tx1"/>
                  </w14:solidFill>
                </w14:textFill>
              </w:rPr>
              <w:t>分；②在满足“①”的基础上，提供有利于项目实施、针对性强的得</w:t>
            </w:r>
            <w:r>
              <w:rPr>
                <w:rFonts w:hint="eastAsia" w:ascii="新宋体" w:hAnsi="新宋体" w:eastAsia="新宋体" w:cs="宋体"/>
                <w:b/>
                <w:bCs/>
                <w:color w:val="000000" w:themeColor="text1"/>
                <w:kern w:val="0"/>
                <w:sz w:val="24"/>
                <w:highlight w:val="none"/>
                <w:lang w:val="en-US" w:eastAsia="zh-CN"/>
                <w14:textFill>
                  <w14:solidFill>
                    <w14:schemeClr w14:val="tx1"/>
                  </w14:solidFill>
                </w14:textFill>
              </w:rPr>
              <w:t>2</w:t>
            </w:r>
            <w:r>
              <w:rPr>
                <w:rFonts w:hint="eastAsia" w:ascii="新宋体" w:hAnsi="新宋体" w:eastAsia="新宋体" w:cs="宋体"/>
                <w:b/>
                <w:bCs/>
                <w:color w:val="000000" w:themeColor="text1"/>
                <w:kern w:val="0"/>
                <w:sz w:val="24"/>
                <w:highlight w:val="none"/>
                <w14:textFill>
                  <w14:solidFill>
                    <w14:schemeClr w14:val="tx1"/>
                  </w14:solidFill>
                </w14:textFill>
              </w:rPr>
              <w:t>分；</w:t>
            </w:r>
            <w:r>
              <w:rPr>
                <w:rFonts w:hint="eastAsia" w:ascii="新宋体" w:hAnsi="新宋体" w:eastAsia="新宋体" w:cs="宋体"/>
                <w:b/>
                <w:bCs/>
                <w:color w:val="000000" w:themeColor="text1"/>
                <w:kern w:val="0"/>
                <w:sz w:val="24"/>
                <w:highlight w:val="none"/>
                <w:lang w:eastAsia="zh-CN"/>
                <w14:textFill>
                  <w14:solidFill>
                    <w14:schemeClr w14:val="tx1"/>
                  </w14:solidFill>
                </w14:textFill>
              </w:rPr>
              <w:t>③</w:t>
            </w:r>
            <w:r>
              <w:rPr>
                <w:rFonts w:hint="eastAsia" w:ascii="新宋体" w:hAnsi="新宋体" w:eastAsia="新宋体" w:cs="宋体"/>
                <w:b/>
                <w:bCs/>
                <w:color w:val="000000" w:themeColor="text1"/>
                <w:kern w:val="0"/>
                <w:sz w:val="24"/>
                <w:highlight w:val="none"/>
                <w14:textFill>
                  <w14:solidFill>
                    <w14:schemeClr w14:val="tx1"/>
                  </w14:solidFill>
                </w14:textFill>
              </w:rPr>
              <w:t>未提供或不符合上述情形的不得分。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46" w:type="dxa"/>
            <w:vAlign w:val="center"/>
          </w:tcPr>
          <w:p>
            <w:pPr>
              <w:pStyle w:val="14"/>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color w:val="000000" w:themeColor="text1"/>
                <w:sz w:val="24"/>
                <w:szCs w:val="24"/>
                <w:highlight w:val="none"/>
                <w14:textFill>
                  <w14:solidFill>
                    <w14:schemeClr w14:val="tx1"/>
                  </w14:solidFill>
                </w14:textFill>
              </w:rPr>
              <w:t>、售后服务情况</w:t>
            </w:r>
          </w:p>
        </w:tc>
        <w:tc>
          <w:tcPr>
            <w:tcW w:w="960" w:type="dxa"/>
            <w:vAlign w:val="center"/>
          </w:tcPr>
          <w:p>
            <w:pPr>
              <w:pStyle w:val="14"/>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r>
              <w:rPr>
                <w:rFonts w:hint="eastAsia" w:ascii="宋体" w:hAnsi="宋体" w:eastAsia="宋体" w:cs="宋体"/>
                <w:b/>
                <w:color w:val="000000" w:themeColor="text1"/>
                <w:sz w:val="24"/>
                <w:szCs w:val="24"/>
                <w:highlight w:val="none"/>
                <w:lang w:val="en-US" w:eastAsia="zh-CN"/>
                <w14:textFill>
                  <w14:solidFill>
                    <w14:schemeClr w14:val="tx1"/>
                  </w14:solidFill>
                </w14:textFill>
              </w:rPr>
              <w:t>65</w:t>
            </w:r>
          </w:p>
        </w:tc>
        <w:tc>
          <w:tcPr>
            <w:tcW w:w="6560" w:type="dxa"/>
            <w:vAlign w:val="top"/>
          </w:tcPr>
          <w:p>
            <w:pPr>
              <w:pStyle w:val="14"/>
              <w:spacing w:line="360" w:lineRule="auto"/>
              <w:jc w:val="both"/>
              <w:rPr>
                <w:rFonts w:hint="eastAsia" w:ascii="宋体" w:hAnsi="宋体" w:eastAsia="宋体" w:cs="宋体"/>
                <w:b/>
                <w:color w:val="000000" w:themeColor="text1"/>
                <w:sz w:val="24"/>
                <w:szCs w:val="24"/>
                <w:highlight w:val="none"/>
                <w:lang w:val="en-US" w:eastAsia="zh-Hans"/>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根据各投标人针对本项目所提供的售后服务方案情况进行评分：包括但不限于①具体的售后服务内容；②维修响应时间及方式；③售后服务机构、专业人员配备情况及现有维修服务能力、备品备件。能完整提供以上所有内容且内容详细具体、符合本项目需求的得满分2</w:t>
            </w:r>
            <w:r>
              <w:rPr>
                <w:rFonts w:hint="eastAsia" w:ascii="宋体" w:hAnsi="宋体" w:eastAsia="宋体" w:cs="宋体"/>
                <w:b/>
                <w:color w:val="000000" w:themeColor="text1"/>
                <w:sz w:val="24"/>
                <w:szCs w:val="24"/>
                <w:highlight w:val="none"/>
                <w:lang w:val="en-US" w:eastAsia="zh-CN"/>
                <w14:textFill>
                  <w14:solidFill>
                    <w14:schemeClr w14:val="tx1"/>
                  </w14:solidFill>
                </w14:textFill>
              </w:rPr>
              <w:t>.65</w:t>
            </w:r>
            <w:r>
              <w:rPr>
                <w:rFonts w:hint="eastAsia" w:ascii="宋体" w:hAnsi="宋体" w:eastAsia="宋体" w:cs="宋体"/>
                <w:b/>
                <w:color w:val="000000" w:themeColor="text1"/>
                <w:sz w:val="24"/>
                <w:szCs w:val="24"/>
                <w:highlight w:val="none"/>
                <w14:textFill>
                  <w14:solidFill>
                    <w14:schemeClr w14:val="tx1"/>
                  </w14:solidFill>
                </w14:textFill>
              </w:rPr>
              <w:t>分；内容较简单、</w:t>
            </w:r>
            <w:r>
              <w:rPr>
                <w:rFonts w:hint="eastAsia" w:ascii="宋体" w:hAnsi="宋体" w:eastAsia="宋体" w:cs="宋体"/>
                <w:b/>
                <w:color w:val="000000" w:themeColor="text1"/>
                <w:sz w:val="24"/>
                <w:szCs w:val="24"/>
                <w:highlight w:val="none"/>
                <w:lang w:eastAsia="zh-CN"/>
                <w14:textFill>
                  <w14:solidFill>
                    <w14:schemeClr w14:val="tx1"/>
                  </w14:solidFill>
                </w14:textFill>
              </w:rPr>
              <w:t>基本</w:t>
            </w:r>
            <w:r>
              <w:rPr>
                <w:rFonts w:hint="eastAsia" w:ascii="宋体" w:hAnsi="宋体" w:eastAsia="宋体" w:cs="宋体"/>
                <w:b/>
                <w:color w:val="000000" w:themeColor="text1"/>
                <w:sz w:val="24"/>
                <w:szCs w:val="24"/>
                <w:highlight w:val="none"/>
                <w14:textFill>
                  <w14:solidFill>
                    <w14:schemeClr w14:val="tx1"/>
                  </w14:solidFill>
                </w14:textFill>
              </w:rPr>
              <w:t>符合本项目需求</w:t>
            </w:r>
            <w:r>
              <w:rPr>
                <w:rFonts w:hint="eastAsia" w:ascii="宋体" w:hAnsi="宋体" w:eastAsia="宋体" w:cs="宋体"/>
                <w:b/>
                <w:color w:val="000000" w:themeColor="text1"/>
                <w:sz w:val="24"/>
                <w:szCs w:val="24"/>
                <w:highlight w:val="none"/>
                <w:lang w:eastAsia="zh-CN"/>
                <w14:textFill>
                  <w14:solidFill>
                    <w14:schemeClr w14:val="tx1"/>
                  </w14:solidFill>
                </w14:textFill>
              </w:rPr>
              <w:t>的</w:t>
            </w:r>
            <w:r>
              <w:rPr>
                <w:rFonts w:hint="eastAsia" w:ascii="宋体" w:hAnsi="宋体" w:eastAsia="宋体" w:cs="宋体"/>
                <w:b/>
                <w:color w:val="000000" w:themeColor="text1"/>
                <w:sz w:val="24"/>
                <w:szCs w:val="24"/>
                <w:highlight w:val="none"/>
                <w14:textFill>
                  <w14:solidFill>
                    <w14:schemeClr w14:val="tx1"/>
                  </w14:solidFill>
                </w14:textFill>
              </w:rPr>
              <w:t>得</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分。提供的方案不符合本项目需求的或未提供的不得分。</w:t>
            </w:r>
          </w:p>
        </w:tc>
      </w:tr>
    </w:tbl>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商务项（F3×A3）满分为</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b/>
          <w:color w:val="000000" w:themeColor="text1"/>
          <w:sz w:val="24"/>
          <w:szCs w:val="24"/>
          <w:highlight w:val="none"/>
          <w14:textFill>
            <w14:solidFill>
              <w14:schemeClr w14:val="tx1"/>
            </w14:solidFill>
          </w14:textFill>
        </w:rPr>
        <w:t>.00分</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tbl>
      <w:tblPr>
        <w:tblStyle w:val="10"/>
        <w:tblW w:w="9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76"/>
        <w:gridCol w:w="1040"/>
        <w:gridCol w:w="65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040" w:type="dxa"/>
            <w:vAlign w:val="center"/>
          </w:tcPr>
          <w:p>
            <w:pPr>
              <w:pStyle w:val="14"/>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580" w:type="dxa"/>
          </w:tcPr>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676" w:type="dxa"/>
            <w:vAlign w:val="center"/>
          </w:tcPr>
          <w:p>
            <w:pPr>
              <w:pStyle w:val="14"/>
              <w:spacing w:line="360" w:lineRule="auto"/>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1、综合实力</w:t>
            </w:r>
          </w:p>
        </w:tc>
        <w:tc>
          <w:tcPr>
            <w:tcW w:w="1040" w:type="dxa"/>
            <w:vAlign w:val="center"/>
          </w:tcPr>
          <w:p>
            <w:pPr>
              <w:widowControl/>
              <w:ind w:left="0" w:leftChars="0" w:firstLine="0" w:firstLineChars="0"/>
              <w:jc w:val="center"/>
              <w:rPr>
                <w:rFonts w:hint="eastAsia" w:ascii="宋体" w:hAnsi="宋体" w:eastAsia="宋体" w:cs="宋体"/>
                <w:b/>
                <w:color w:val="000000" w:themeColor="text1"/>
                <w:kern w:val="0"/>
                <w:sz w:val="24"/>
                <w:szCs w:val="24"/>
                <w:highlight w:val="none"/>
                <w:u w:color="000000"/>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1.00</w:t>
            </w:r>
          </w:p>
        </w:tc>
        <w:tc>
          <w:tcPr>
            <w:tcW w:w="6580" w:type="dxa"/>
            <w:vAlign w:val="center"/>
          </w:tcPr>
          <w:p>
            <w:pPr>
              <w:widowControl/>
              <w:ind w:left="0" w:leftChars="0" w:firstLine="0" w:firstLineChars="0"/>
              <w:jc w:val="left"/>
              <w:rPr>
                <w:rFonts w:hint="eastAsia" w:ascii="宋体" w:hAnsi="宋体" w:eastAsia="宋体" w:cs="宋体"/>
                <w:b/>
                <w:color w:val="000000" w:themeColor="text1"/>
                <w:kern w:val="0"/>
                <w:sz w:val="24"/>
                <w:szCs w:val="24"/>
                <w:highlight w:val="none"/>
                <w:u w:color="000000"/>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投标人具有有效期内的电子与智能化工程专业承包贰级资质的得0.5分，具有壹级资质的得1分，未提供不得分。（提供相关有效的证明材料复印件并加盖投标人公章）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676" w:type="dxa"/>
            <w:vAlign w:val="center"/>
          </w:tcPr>
          <w:p>
            <w:pPr>
              <w:pStyle w:val="14"/>
              <w:spacing w:line="360" w:lineRule="auto"/>
              <w:jc w:val="both"/>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2、综合实力</w:t>
            </w:r>
          </w:p>
        </w:tc>
        <w:tc>
          <w:tcPr>
            <w:tcW w:w="1040" w:type="dxa"/>
            <w:vAlign w:val="center"/>
          </w:tcPr>
          <w:p>
            <w:pPr>
              <w:pStyle w:val="14"/>
              <w:spacing w:line="360" w:lineRule="auto"/>
              <w:jc w:val="center"/>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1.00</w:t>
            </w:r>
          </w:p>
        </w:tc>
        <w:tc>
          <w:tcPr>
            <w:tcW w:w="6580" w:type="dxa"/>
          </w:tcPr>
          <w:p>
            <w:pPr>
              <w:pStyle w:val="14"/>
              <w:spacing w:line="360" w:lineRule="auto"/>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投标人具有有效期内的信息通信网络系统集成企业服务能力乙级的得0.5分，具有甲级的得1分，未提供不得分。（提供相关有效的证明材料复印件并加盖投标人公章）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widowControl/>
              <w:ind w:left="0" w:leftChars="0" w:firstLine="0" w:firstLineChars="0"/>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3、服务资质认证证书</w:t>
            </w:r>
          </w:p>
        </w:tc>
        <w:tc>
          <w:tcPr>
            <w:tcW w:w="1040" w:type="dxa"/>
            <w:vAlign w:val="center"/>
          </w:tcPr>
          <w:p>
            <w:pPr>
              <w:widowControl/>
              <w:ind w:left="0" w:leftChars="0" w:firstLine="0" w:firstLineChars="0"/>
              <w:jc w:val="center"/>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1.00</w:t>
            </w:r>
          </w:p>
        </w:tc>
        <w:tc>
          <w:tcPr>
            <w:tcW w:w="6580" w:type="dxa"/>
            <w:vAlign w:val="center"/>
          </w:tcPr>
          <w:p>
            <w:pPr>
              <w:widowControl/>
              <w:ind w:left="0" w:leftChars="0" w:firstLine="0" w:firstLineChars="0"/>
              <w:jc w:val="left"/>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具备CCRC信息安全服务资质认证二级及以上证书的得0.5分；具备ITSS信息技术服务运行维护标准级资质证书壹级（认证类别为信息系统安全集成）的得0.5分，未提供的不得分。（提供有效期内证书复印件加盖投标人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widowControl/>
              <w:ind w:left="0" w:leftChars="0" w:firstLine="0" w:firstLineChars="0"/>
              <w:jc w:val="both"/>
              <w:rPr>
                <w:rFonts w:hint="eastAsia" w:ascii="宋体" w:hAnsi="宋体" w:eastAsia="宋体" w:cs="宋体"/>
                <w:b/>
                <w:color w:val="000000" w:themeColor="text1"/>
                <w:kern w:val="0"/>
                <w:sz w:val="24"/>
                <w:szCs w:val="24"/>
                <w:highlight w:val="none"/>
                <w:u w:color="000000"/>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4、企业管理体系认证资质</w:t>
            </w:r>
          </w:p>
        </w:tc>
        <w:tc>
          <w:tcPr>
            <w:tcW w:w="1040" w:type="dxa"/>
            <w:vAlign w:val="center"/>
          </w:tcPr>
          <w:p>
            <w:pPr>
              <w:widowControl/>
              <w:ind w:left="0" w:leftChars="0" w:firstLine="0" w:firstLineChars="0"/>
              <w:jc w:val="center"/>
              <w:rPr>
                <w:rFonts w:hint="default" w:ascii="宋体" w:hAnsi="宋体" w:eastAsia="宋体" w:cs="宋体"/>
                <w:b/>
                <w:color w:val="000000" w:themeColor="text1"/>
                <w:kern w:val="0"/>
                <w:sz w:val="24"/>
                <w:szCs w:val="24"/>
                <w:highlight w:val="none"/>
                <w:u w:color="000000"/>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1.00</w:t>
            </w:r>
          </w:p>
        </w:tc>
        <w:tc>
          <w:tcPr>
            <w:tcW w:w="6580" w:type="dxa"/>
            <w:vAlign w:val="center"/>
          </w:tcPr>
          <w:p>
            <w:pPr>
              <w:widowControl/>
              <w:ind w:left="0" w:leftChars="0" w:firstLine="0" w:firstLineChars="0"/>
              <w:jc w:val="left"/>
              <w:rPr>
                <w:rFonts w:hint="eastAsia" w:ascii="宋体" w:hAnsi="宋体" w:eastAsia="宋体" w:cs="宋体"/>
                <w:b/>
                <w:color w:val="000000" w:themeColor="text1"/>
                <w:kern w:val="0"/>
                <w:sz w:val="24"/>
                <w:szCs w:val="24"/>
                <w:highlight w:val="none"/>
                <w:u w:color="000000"/>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 xml:space="preserve">投标人具有有效期内的体系认证证书，包括：1、质量管理体系认证；2、信息安全管理体系认证；3、信息技术服务管理体系认证；4、环境管理体系认证；5、职业健康安全管理体系认证；最高1分，缺一项证书扣0.2分，扣完为止。（提供有效期内证书复印件加盖投标人公章）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5、项目团队（人员不得重复）</w:t>
            </w:r>
          </w:p>
        </w:tc>
        <w:tc>
          <w:tcPr>
            <w:tcW w:w="1040" w:type="dxa"/>
            <w:vAlign w:val="center"/>
          </w:tcPr>
          <w:p>
            <w:pPr>
              <w:pStyle w:val="14"/>
              <w:spacing w:line="360" w:lineRule="auto"/>
              <w:jc w:val="center"/>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2.00</w:t>
            </w:r>
          </w:p>
        </w:tc>
        <w:tc>
          <w:tcPr>
            <w:tcW w:w="6580" w:type="dxa"/>
          </w:tcPr>
          <w:p>
            <w:pPr>
              <w:pStyle w:val="14"/>
              <w:spacing w:line="360" w:lineRule="auto"/>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拟派项目总负责人1名，同时具备信息系统项目管理师、系统分析师、高级工程师证（电子或智能化或计算机信息化等相关专业）的得2分，缺一项扣1分，扣完为止。投标时需提供相关人员证书复印件及投标人投标截止时间前（不含投标截止时间的当月）三个月中任意一个月为其缴纳社保的证明材料，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both"/>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6、项目团队（人员不得重复）</w:t>
            </w:r>
          </w:p>
        </w:tc>
        <w:tc>
          <w:tcPr>
            <w:tcW w:w="1040" w:type="dxa"/>
            <w:vAlign w:val="center"/>
          </w:tcPr>
          <w:p>
            <w:pPr>
              <w:pStyle w:val="14"/>
              <w:spacing w:line="360" w:lineRule="auto"/>
              <w:jc w:val="center"/>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2.00</w:t>
            </w:r>
          </w:p>
        </w:tc>
        <w:tc>
          <w:tcPr>
            <w:tcW w:w="6580" w:type="dxa"/>
          </w:tcPr>
          <w:p>
            <w:pPr>
              <w:pStyle w:val="14"/>
              <w:spacing w:line="360" w:lineRule="auto"/>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须按技术要求的人员要求至少为本项目13个中心粮库拟派10个库点负责人，拟派的库点负责人中5名至7名具有中级及以上工程师证（电子或智能化或计算机信息化等相关专业）的得1分；8名至9名具有的得1.5分；10名及以上具有的得2分。投标时需提供相关人员证书复印件及投标截止时间前（不含投标截止时间的当月）三个月中任意一个月为其缴纳社保的证明材料，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both"/>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7、项目团队（人员不得重复）</w:t>
            </w:r>
          </w:p>
        </w:tc>
        <w:tc>
          <w:tcPr>
            <w:tcW w:w="1040" w:type="dxa"/>
            <w:vAlign w:val="center"/>
          </w:tcPr>
          <w:p>
            <w:pPr>
              <w:pStyle w:val="14"/>
              <w:spacing w:line="360" w:lineRule="auto"/>
              <w:jc w:val="center"/>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2.00</w:t>
            </w:r>
          </w:p>
        </w:tc>
        <w:tc>
          <w:tcPr>
            <w:tcW w:w="6580" w:type="dxa"/>
            <w:vAlign w:val="top"/>
          </w:tcPr>
          <w:p>
            <w:pPr>
              <w:pStyle w:val="14"/>
              <w:spacing w:line="360" w:lineRule="auto"/>
              <w:jc w:val="both"/>
              <w:rPr>
                <w:rFonts w:hint="eastAsia" w:ascii="宋体" w:hAnsi="宋体" w:eastAsia="宋体" w:cs="宋体"/>
                <w:b/>
                <w:color w:val="000000" w:themeColor="text1"/>
                <w:kern w:val="0"/>
                <w:sz w:val="24"/>
                <w:szCs w:val="24"/>
                <w:highlight w:val="none"/>
                <w:lang w:val="en-US" w:eastAsia="zh-Hans"/>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须按技术要求的人员要求至少为本项目13个中心粮库拟派10个库点技术员，拟派的库点技术员中5名至7名具有信息系统业务安全服务工程师证书的得1分；8名至9名具有的得1.5分；10名及以上具有的得2分。投标时需提供相关人员证书复印件及投标截止时间前（不含投标截止时间的当月）三个月中任意一个月为其缴纳社保的证明材料，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8、总负责人业绩</w:t>
            </w:r>
          </w:p>
        </w:tc>
        <w:tc>
          <w:tcPr>
            <w:tcW w:w="1040" w:type="dxa"/>
            <w:vAlign w:val="center"/>
          </w:tcPr>
          <w:p>
            <w:pPr>
              <w:pStyle w:val="14"/>
              <w:spacing w:line="360" w:lineRule="auto"/>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1.00</w:t>
            </w:r>
          </w:p>
        </w:tc>
        <w:tc>
          <w:tcPr>
            <w:tcW w:w="6580" w:type="dxa"/>
            <w:vAlign w:val="top"/>
          </w:tcPr>
          <w:p>
            <w:pPr>
              <w:ind w:left="0" w:leftChars="0" w:firstLine="0" w:firstLineChars="0"/>
              <w:jc w:val="left"/>
              <w:rPr>
                <w:rFonts w:hint="eastAsia" w:ascii="宋体" w:hAnsi="宋体" w:eastAsia="宋体" w:cs="宋体"/>
                <w:b/>
                <w:color w:val="000000" w:themeColor="text1"/>
                <w:kern w:val="2"/>
                <w:sz w:val="24"/>
                <w:szCs w:val="24"/>
                <w:highlight w:val="none"/>
                <w:u w:color="000000"/>
                <w:lang w:val="en-US" w:eastAsia="zh-Hans"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14:textFill>
                  <w14:solidFill>
                    <w14:schemeClr w14:val="tx1"/>
                  </w14:solidFill>
                </w14:textFill>
              </w:rPr>
              <w:t>投标人拟派项目总负责人</w:t>
            </w:r>
            <w:r>
              <w:rPr>
                <w:rFonts w:hint="eastAsia" w:ascii="宋体" w:hAnsi="宋体" w:eastAsia="宋体" w:cs="宋体"/>
                <w:b/>
                <w:color w:val="000000" w:themeColor="text1"/>
                <w:sz w:val="24"/>
                <w:szCs w:val="24"/>
                <w:highlight w:val="none"/>
                <w14:textFill>
                  <w14:solidFill>
                    <w14:schemeClr w14:val="tx1"/>
                  </w14:solidFill>
                </w14:textFill>
              </w:rPr>
              <w:t>自20</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b/>
                <w:color w:val="000000" w:themeColor="text1"/>
                <w:sz w:val="24"/>
                <w:szCs w:val="24"/>
                <w:highlight w:val="none"/>
                <w14:textFill>
                  <w14:solidFill>
                    <w14:schemeClr w14:val="tx1"/>
                  </w14:solidFill>
                </w14:textFill>
              </w:rPr>
              <w:t>年1月1日以来至投标截止日期（日期以合同签订日期为准）</w:t>
            </w:r>
            <w:r>
              <w:rPr>
                <w:rFonts w:hint="eastAsia" w:ascii="宋体" w:hAnsi="宋体" w:eastAsia="宋体" w:cs="宋体"/>
                <w:b/>
                <w:color w:val="000000" w:themeColor="text1"/>
                <w:sz w:val="24"/>
                <w:szCs w:val="24"/>
                <w:highlight w:val="none"/>
                <w:lang w:eastAsia="zh-CN"/>
                <w14:textFill>
                  <w14:solidFill>
                    <w14:schemeClr w14:val="tx1"/>
                  </w14:solidFill>
                </w14:textFill>
              </w:rPr>
              <w:t>具有粮库信息化项目业绩情况</w:t>
            </w:r>
            <w:r>
              <w:rPr>
                <w:rFonts w:hint="eastAsia" w:ascii="宋体" w:hAnsi="宋体" w:eastAsia="宋体" w:cs="宋体"/>
                <w:b/>
                <w:color w:val="000000" w:themeColor="text1"/>
                <w:sz w:val="24"/>
                <w:szCs w:val="24"/>
                <w:highlight w:val="none"/>
                <w14:textFill>
                  <w14:solidFill>
                    <w14:schemeClr w14:val="tx1"/>
                  </w14:solidFill>
                </w14:textFill>
              </w:rPr>
              <w:t>进行打分，每提供一份得1分</w:t>
            </w:r>
            <w:r>
              <w:rPr>
                <w:rFonts w:hint="eastAsia" w:ascii="宋体" w:hAnsi="宋体" w:eastAsia="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满分</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分，未提供不得分。【业绩项目中须含中标/成交公告（提供相关网站中标/成交公告的下载网页并注明网址）、中标/成交通知书复印件、采购合同文本复印件（原件备查），以及能够证明该业绩项目已经采购人验收合格的相关证明文件复印件，未同时提供以上各项证明材料的，该项业绩不给予计分】（满分</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center"/>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9、业绩</w:t>
            </w:r>
          </w:p>
        </w:tc>
        <w:tc>
          <w:tcPr>
            <w:tcW w:w="1040" w:type="dxa"/>
            <w:vAlign w:val="center"/>
          </w:tcPr>
          <w:p>
            <w:pPr>
              <w:pStyle w:val="14"/>
              <w:spacing w:line="360" w:lineRule="auto"/>
              <w:jc w:val="center"/>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3.00</w:t>
            </w:r>
          </w:p>
        </w:tc>
        <w:tc>
          <w:tcPr>
            <w:tcW w:w="6580" w:type="dxa"/>
          </w:tcPr>
          <w:p>
            <w:pPr>
              <w:pStyle w:val="14"/>
              <w:spacing w:line="360" w:lineRule="auto"/>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根据</w:t>
            </w:r>
            <w:r>
              <w:rPr>
                <w:rFonts w:hint="eastAsia" w:ascii="宋体" w:hAnsi="宋体" w:eastAsia="宋体" w:cs="宋体"/>
                <w:b/>
                <w:color w:val="000000" w:themeColor="text1"/>
                <w:sz w:val="24"/>
                <w:szCs w:val="24"/>
                <w:highlight w:val="none"/>
                <w:lang w:eastAsia="zh-CN"/>
                <w14:textFill>
                  <w14:solidFill>
                    <w14:schemeClr w14:val="tx1"/>
                  </w14:solidFill>
                </w14:textFill>
              </w:rPr>
              <w:t>各投标人</w:t>
            </w:r>
            <w:r>
              <w:rPr>
                <w:rFonts w:hint="eastAsia" w:ascii="宋体" w:hAnsi="宋体" w:eastAsia="宋体" w:cs="宋体"/>
                <w:b/>
                <w:color w:val="000000" w:themeColor="text1"/>
                <w:sz w:val="24"/>
                <w:szCs w:val="24"/>
                <w:highlight w:val="none"/>
                <w14:textFill>
                  <w14:solidFill>
                    <w14:schemeClr w14:val="tx1"/>
                  </w14:solidFill>
                </w14:textFill>
              </w:rPr>
              <w:t>自20</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b/>
                <w:color w:val="000000" w:themeColor="text1"/>
                <w:sz w:val="24"/>
                <w:szCs w:val="24"/>
                <w:highlight w:val="none"/>
                <w14:textFill>
                  <w14:solidFill>
                    <w14:schemeClr w14:val="tx1"/>
                  </w14:solidFill>
                </w14:textFill>
              </w:rPr>
              <w:t>年1月1日以来至投标截止日期（日期以合同签订日期为准）</w:t>
            </w:r>
            <w:r>
              <w:rPr>
                <w:rFonts w:hint="eastAsia" w:ascii="宋体" w:hAnsi="宋体" w:eastAsia="宋体" w:cs="宋体"/>
                <w:b/>
                <w:color w:val="000000" w:themeColor="text1"/>
                <w:sz w:val="24"/>
                <w:szCs w:val="24"/>
                <w:highlight w:val="none"/>
                <w:lang w:eastAsia="zh-CN"/>
                <w14:textFill>
                  <w14:solidFill>
                    <w14:schemeClr w14:val="tx1"/>
                  </w14:solidFill>
                </w14:textFill>
              </w:rPr>
              <w:t>独立完成粮库信息化项目业绩情况</w:t>
            </w:r>
            <w:r>
              <w:rPr>
                <w:rFonts w:hint="eastAsia" w:ascii="宋体" w:hAnsi="宋体" w:eastAsia="宋体" w:cs="宋体"/>
                <w:b/>
                <w:color w:val="000000" w:themeColor="text1"/>
                <w:sz w:val="24"/>
                <w:szCs w:val="24"/>
                <w:highlight w:val="none"/>
                <w14:textFill>
                  <w14:solidFill>
                    <w14:schemeClr w14:val="tx1"/>
                  </w14:solidFill>
                </w14:textFill>
              </w:rPr>
              <w:t>进行打分，每提供一份得1分，满分</w:t>
            </w:r>
            <w:r>
              <w:rPr>
                <w:rFonts w:hint="eastAsia" w:ascii="宋体" w:hAnsi="宋体" w:eastAsia="宋体" w:cs="宋体"/>
                <w:b/>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color w:val="000000" w:themeColor="text1"/>
                <w:sz w:val="24"/>
                <w:szCs w:val="24"/>
                <w:highlight w:val="none"/>
                <w14:textFill>
                  <w14:solidFill>
                    <w14:schemeClr w14:val="tx1"/>
                  </w14:solidFill>
                </w14:textFill>
              </w:rPr>
              <w:t>分，未提供不得分。【业绩项目中须含中标/成交公告（提供相关网站中标/成交公告的下载网页并注明网址）、中标/成交通知书复印件、采购合同文本复印件（原件备查），以及能够证明该业绩项目已经采购人验收合格的相关证明文件复印件，未同时提供以上各项证明材料的，该项业绩不给予计分】（满分</w:t>
            </w:r>
            <w:r>
              <w:rPr>
                <w:rFonts w:hint="eastAsia" w:ascii="宋体" w:hAnsi="宋体" w:eastAsia="宋体" w:cs="宋体"/>
                <w:b/>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color w:val="000000" w:themeColor="text1"/>
                <w:sz w:val="24"/>
                <w:szCs w:val="24"/>
                <w:highlight w:val="none"/>
                <w14:textFill>
                  <w14:solidFill>
                    <w14:schemeClr w14:val="tx1"/>
                  </w14:solidFill>
                </w14:textFill>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76" w:type="dxa"/>
            <w:vAlign w:val="center"/>
          </w:tcPr>
          <w:p>
            <w:pPr>
              <w:pStyle w:val="14"/>
              <w:spacing w:line="360" w:lineRule="auto"/>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10、服务承诺</w:t>
            </w:r>
          </w:p>
        </w:tc>
        <w:tc>
          <w:tcPr>
            <w:tcW w:w="1040" w:type="dxa"/>
            <w:vAlign w:val="center"/>
          </w:tcPr>
          <w:p>
            <w:pPr>
              <w:pStyle w:val="14"/>
              <w:spacing w:line="360" w:lineRule="auto"/>
              <w:jc w:val="center"/>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1.00</w:t>
            </w:r>
          </w:p>
        </w:tc>
        <w:tc>
          <w:tcPr>
            <w:tcW w:w="6580" w:type="dxa"/>
          </w:tcPr>
          <w:p>
            <w:pPr>
              <w:pStyle w:val="14"/>
              <w:spacing w:line="360" w:lineRule="auto"/>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投标人承诺中标后在</w:t>
            </w:r>
            <w:r>
              <w:rPr>
                <w:rFonts w:hint="eastAsia" w:ascii="宋体" w:hAnsi="宋体" w:eastAsia="宋体" w:cs="宋体"/>
                <w:b/>
                <w:color w:val="000000" w:themeColor="text1"/>
                <w:sz w:val="24"/>
                <w:szCs w:val="24"/>
                <w:highlight w:val="none"/>
                <w:lang w:eastAsia="zh-CN"/>
                <w14:textFill>
                  <w14:solidFill>
                    <w14:schemeClr w14:val="tx1"/>
                  </w14:solidFill>
                </w14:textFill>
              </w:rPr>
              <w:t>采购人所属地区</w:t>
            </w:r>
            <w:r>
              <w:rPr>
                <w:rFonts w:hint="eastAsia" w:ascii="宋体" w:hAnsi="宋体" w:eastAsia="宋体" w:cs="宋体"/>
                <w:b/>
                <w:color w:val="000000" w:themeColor="text1"/>
                <w:sz w:val="24"/>
                <w:szCs w:val="24"/>
                <w:highlight w:val="none"/>
                <w14:textFill>
                  <w14:solidFill>
                    <w14:schemeClr w14:val="tx1"/>
                  </w14:solidFill>
                </w14:textFill>
              </w:rPr>
              <w:t>设立直属服务机构（包括总公司</w:t>
            </w:r>
            <w:r>
              <w:rPr>
                <w:rFonts w:hint="eastAsia" w:ascii="宋体" w:hAnsi="宋体" w:eastAsia="宋体" w:cs="宋体"/>
                <w:b/>
                <w:color w:val="000000" w:themeColor="text1"/>
                <w:sz w:val="24"/>
                <w:szCs w:val="24"/>
                <w:highlight w:val="none"/>
                <w:lang w:eastAsia="zh-CN"/>
                <w14:textFill>
                  <w14:solidFill>
                    <w14:schemeClr w14:val="tx1"/>
                  </w14:solidFill>
                </w14:textFill>
              </w:rPr>
              <w:t>或</w:t>
            </w:r>
            <w:r>
              <w:rPr>
                <w:rFonts w:hint="eastAsia" w:ascii="宋体" w:hAnsi="宋体" w:eastAsia="宋体" w:cs="宋体"/>
                <w:b/>
                <w:color w:val="000000" w:themeColor="text1"/>
                <w:sz w:val="24"/>
                <w:szCs w:val="24"/>
                <w:highlight w:val="none"/>
                <w14:textFill>
                  <w14:solidFill>
                    <w14:schemeClr w14:val="tx1"/>
                  </w14:solidFill>
                </w14:textFill>
              </w:rPr>
              <w:t>分公司</w:t>
            </w:r>
            <w:r>
              <w:rPr>
                <w:rFonts w:hint="eastAsia" w:ascii="宋体" w:hAnsi="宋体" w:eastAsia="宋体" w:cs="宋体"/>
                <w:b/>
                <w:color w:val="000000" w:themeColor="text1"/>
                <w:sz w:val="24"/>
                <w:szCs w:val="24"/>
                <w:highlight w:val="none"/>
                <w:lang w:eastAsia="zh-CN"/>
                <w14:textFill>
                  <w14:solidFill>
                    <w14:schemeClr w14:val="tx1"/>
                  </w14:solidFill>
                </w14:textFill>
              </w:rPr>
              <w:t>或</w:t>
            </w:r>
            <w:r>
              <w:rPr>
                <w:rFonts w:hint="eastAsia" w:ascii="宋体" w:hAnsi="宋体" w:eastAsia="宋体" w:cs="宋体"/>
                <w:b/>
                <w:color w:val="000000" w:themeColor="text1"/>
                <w:sz w:val="24"/>
                <w:szCs w:val="24"/>
                <w:highlight w:val="none"/>
                <w14:textFill>
                  <w14:solidFill>
                    <w14:schemeClr w14:val="tx1"/>
                  </w14:solidFill>
                </w14:textFill>
              </w:rPr>
              <w:t>子公司</w:t>
            </w:r>
            <w:r>
              <w:rPr>
                <w:rFonts w:hint="eastAsia" w:ascii="宋体" w:hAnsi="宋体" w:eastAsia="宋体" w:cs="宋体"/>
                <w:b/>
                <w:color w:val="000000" w:themeColor="text1"/>
                <w:sz w:val="24"/>
                <w:szCs w:val="24"/>
                <w:highlight w:val="none"/>
                <w:lang w:eastAsia="zh-CN"/>
                <w14:textFill>
                  <w14:solidFill>
                    <w14:schemeClr w14:val="tx1"/>
                  </w14:solidFill>
                </w14:textFill>
              </w:rPr>
              <w:t>或</w:t>
            </w:r>
            <w:r>
              <w:rPr>
                <w:rFonts w:hint="eastAsia" w:ascii="宋体" w:hAnsi="宋体" w:eastAsia="宋体" w:cs="宋体"/>
                <w:b/>
                <w:color w:val="000000" w:themeColor="text1"/>
                <w:sz w:val="24"/>
                <w:szCs w:val="24"/>
                <w:highlight w:val="none"/>
                <w14:textFill>
                  <w14:solidFill>
                    <w14:schemeClr w14:val="tx1"/>
                  </w14:solidFill>
                </w14:textFill>
              </w:rPr>
              <w:t>办事处</w:t>
            </w:r>
            <w:r>
              <w:rPr>
                <w:rFonts w:hint="eastAsia" w:ascii="宋体" w:hAnsi="宋体" w:eastAsia="宋体" w:cs="宋体"/>
                <w:b/>
                <w:color w:val="000000" w:themeColor="text1"/>
                <w:sz w:val="24"/>
                <w:szCs w:val="24"/>
                <w:highlight w:val="none"/>
                <w:lang w:eastAsia="zh-CN"/>
                <w14:textFill>
                  <w14:solidFill>
                    <w14:schemeClr w14:val="tx1"/>
                  </w14:solidFill>
                </w14:textFill>
              </w:rPr>
              <w:t>或售后服务机构</w:t>
            </w:r>
            <w:r>
              <w:rPr>
                <w:rFonts w:hint="eastAsia" w:ascii="宋体" w:hAnsi="宋体" w:eastAsia="宋体" w:cs="宋体"/>
                <w:b/>
                <w:color w:val="000000" w:themeColor="text1"/>
                <w:sz w:val="24"/>
                <w:szCs w:val="24"/>
                <w:highlight w:val="none"/>
                <w14:textFill>
                  <w14:solidFill>
                    <w14:schemeClr w14:val="tx1"/>
                  </w14:solidFill>
                </w14:textFill>
              </w:rPr>
              <w:t>）并配有</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13名以上</w:t>
            </w:r>
            <w:r>
              <w:rPr>
                <w:rFonts w:hint="eastAsia" w:ascii="宋体" w:hAnsi="宋体" w:eastAsia="宋体" w:cs="宋体"/>
                <w:b/>
                <w:color w:val="000000" w:themeColor="text1"/>
                <w:sz w:val="24"/>
                <w:szCs w:val="24"/>
                <w:highlight w:val="none"/>
                <w14:textFill>
                  <w14:solidFill>
                    <w14:schemeClr w14:val="tx1"/>
                  </w14:solidFill>
                </w14:textFill>
              </w:rPr>
              <w:t>专</w:t>
            </w:r>
            <w:r>
              <w:rPr>
                <w:rFonts w:hint="eastAsia" w:ascii="宋体" w:hAnsi="宋体" w:eastAsia="宋体" w:cs="宋体"/>
                <w:b/>
                <w:color w:val="000000" w:themeColor="text1"/>
                <w:sz w:val="24"/>
                <w:szCs w:val="24"/>
                <w:highlight w:val="none"/>
                <w:lang w:eastAsia="zh-CN"/>
                <w14:textFill>
                  <w14:solidFill>
                    <w14:schemeClr w14:val="tx1"/>
                  </w14:solidFill>
                </w14:textFill>
              </w:rPr>
              <w:t>业</w:t>
            </w:r>
            <w:r>
              <w:rPr>
                <w:rFonts w:hint="eastAsia" w:ascii="宋体" w:hAnsi="宋体" w:eastAsia="宋体" w:cs="宋体"/>
                <w:b/>
                <w:color w:val="000000" w:themeColor="text1"/>
                <w:sz w:val="24"/>
                <w:szCs w:val="24"/>
                <w:highlight w:val="none"/>
                <w14:textFill>
                  <w14:solidFill>
                    <w14:schemeClr w14:val="tx1"/>
                  </w14:solidFill>
                </w14:textFill>
              </w:rPr>
              <w:t>人员，能直接为本项目提供服务的得</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分；不承诺则不得分；费用应已包含在投标报价中，不再另行收费。</w:t>
            </w:r>
          </w:p>
        </w:tc>
      </w:tr>
    </w:tbl>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加分项（F4×A4）</w:t>
      </w:r>
    </w:p>
    <w:tbl>
      <w:tblPr>
        <w:tblStyle w:val="10"/>
        <w:tblW w:w="9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26"/>
        <w:gridCol w:w="1060"/>
        <w:gridCol w:w="65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2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06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51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2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节能、环境标志产品</w:t>
            </w:r>
          </w:p>
        </w:tc>
        <w:tc>
          <w:tcPr>
            <w:tcW w:w="1060" w:type="dxa"/>
          </w:tcPr>
          <w:p>
            <w:pPr>
              <w:pStyle w:val="1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6.8</w:t>
            </w:r>
            <w:r>
              <w:rPr>
                <w:rFonts w:hint="eastAsia" w:ascii="宋体" w:hAnsi="宋体" w:eastAsia="宋体" w:cs="宋体"/>
                <w:b/>
                <w:color w:val="000000" w:themeColor="text1"/>
                <w:sz w:val="24"/>
                <w:szCs w:val="24"/>
                <w:highlight w:val="none"/>
                <w14:textFill>
                  <w14:solidFill>
                    <w14:schemeClr w14:val="tx1"/>
                  </w14:solidFill>
                </w14:textFill>
              </w:rPr>
              <w:t>0</w:t>
            </w:r>
          </w:p>
        </w:tc>
        <w:tc>
          <w:tcPr>
            <w:tcW w:w="651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(1)执行财政部 发展改革委 生态环境部 市场监管总局印发《关于调整优化节能产品、环境标志产品政府采购执行机制的通知》(财库〔2019〕9号)、财政部 生态环境部印发的《关于印发环境标志产品政府采购品目清单的通知》（财库〔2019〕18号）及财政部 发展改革委印发的《关于印发节能产品政府采购品目清单的通知》（财库〔2019〕19号）的规定。（2）本次采购货物属于《节能产品政府采购品目清单》、《环境标志产品政府采购品目清单》中政府强制采购产品的（具体品目以“★”标注），投标人所投产品必须是财政部、国家发展改革委公示的《节能产品政府采购品目清单》和财政部、生态环境部内公示的《环境标志产品政府采购品目清单》产品，并提供产品的证明资料复印件（国家确定的认证机构出具的、处于有效期之内的节能产品、环境标志产品认证证书）加盖投标人公章，否则投标无效。 (3) 本次采购属于《节能产品政府采购品目清单》、《环境标志产品政府采购品目清单》中优先采购节能、环境标志产品的，投标人若提供国家确定的认证机构出具的、处于有效期之内的节能产品、环境标志产品认证证书则按以下优惠内容及幅度进行评审： ①、若同一合同包内的节能(非强制类产品)、环境标志产品报价总金额低于本合同包报价总金额20%(含20%)以下的，将分别给予节能、环境标志产品价格评标项和技术评标项标准总分值4％的加分； ②、若同一合同包内节能(非强制类产品)、环境标志产品报价总金额占本合同包报价总金额20%-50%(含50%)的，将分别给予节能、环境标志产品在价格评标项和技术评标项标准总分值6％的加分； ③、若同一合同包内节能(非强制类产品)、环境标志产品报价总金额占本合同包报价总金额50%以上的，将分别给予节能、环境标志产品在价格评标项和技术评标项标准总分值8％的加分。 注：对于同时属于节能、环境标志的产品，应当优先于只获得其中一项认证的产品。投标人在投标时必须对属于节能、环境标志产品单独在节能(非强制类)、环境标志产品统计表中填写，并提供产品的证明资料复印件附在报价部分(电子证明资料应上传在对应评分模块)且加盖投标人公章。未单独分项报价或未按规定提供产品的证明资料的不给予加分。投标产品属于节能、环境标志产品的，可享受相关的鼓励优惠政策；若节能、环境标志产品仅是构成投标产品的部件、组件或零件的，则该投标产品不享受鼓励优惠政策。评标委员会审查此项响应性只根据投标文件本身的内容，而不寻求其他的外部证据。(本文件中其他有关附加部分评审中节能、环境标志产品描述情况与此处不一致，以此处为准)。</w:t>
            </w:r>
          </w:p>
        </w:tc>
      </w:tr>
    </w:tbl>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（4）中标候选人排列规则顺序如下：</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a.按照评标总得分（FA）由高到低顺序排列。</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b.评标总得分（FA）相同的，按照评标价（即价格扣除后的投标报价）由低到高顺序排列。</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c.评标总得分（FA）且评标价（即价格扣除后的投标报价）相同的并列。</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8、其他规定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8.1评标应全程保密且不得透露给任一投标人或与评标工作无关的人员。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8.2评标将进行全程实时录音录像，录音录像资料随采购文件一并存档。</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8.3若投标人有任何试图干扰具体评标事务，影响评标委员会独立履行职责的行为，其投标无效且不予退还投标保证金或通过投标保函进行索赔。情节严重的，由财政部门列入不良行为记录。</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8.4其他：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无</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1"/>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第五章 招标内容及要求</w:t>
      </w:r>
    </w:p>
    <w:p>
      <w:pPr>
        <w:pStyle w:val="14"/>
        <w:spacing w:line="360" w:lineRule="auto"/>
        <w:jc w:val="both"/>
        <w:outlineLvl w:val="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一、项目概况（采购标的）</w:t>
      </w:r>
    </w:p>
    <w:p>
      <w:pPr>
        <w:pStyle w:val="14"/>
        <w:spacing w:line="360" w:lineRule="auto"/>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（一）项目概况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eastAsia" w:ascii="宋体" w:hAnsi="宋体" w:eastAsia="宋体" w:cs="宋体"/>
          <w:b/>
          <w:bCs/>
          <w:color w:val="000000" w:themeColor="text1"/>
          <w:sz w:val="24"/>
          <w:szCs w:val="24"/>
          <w:highlight w:val="none"/>
          <w:u w:val="none" w:color="auto"/>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建设内容为三明市粮食购销领域监管信息化设备的采购安装集成，实现中心粮库与分库、代储点的互联互通，与省级平台系统的对接。项目采用“统采分签”的方式进行建设，涉及三明市各县（市、区）13个粮食中心储备库（含3个分库和11个代储点）。该项目计划在今年8月底前完成设备的安装、调试、互联，9月底前完成软硬件的对接，12月底前并入省级平台实现“一张网”。</w:t>
      </w:r>
    </w:p>
    <w:p>
      <w:pPr>
        <w:pStyle w:val="14"/>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（二）服务区域范围</w:t>
      </w:r>
    </w:p>
    <w:tbl>
      <w:tblPr>
        <w:tblStyle w:val="10"/>
        <w:tblW w:w="87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90"/>
        <w:gridCol w:w="1193"/>
        <w:gridCol w:w="1090"/>
        <w:gridCol w:w="1730"/>
        <w:gridCol w:w="1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中心库</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分库</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代储点</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482" w:firstLineChars="200"/>
              <w:jc w:val="both"/>
              <w:textAlignment w:val="center"/>
              <w:rPr>
                <w:rFonts w:hint="eastAsia" w:ascii="宋体" w:hAnsi="宋体" w:eastAsia="宋体" w:cs="宋体"/>
                <w:b/>
                <w:bCs/>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三明市粮油贸易有限公司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三明市荆西粮食和物资储备有限公司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三明市粮食购销有限公司台江粮库</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沙县区粮食购销有限公司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永安市粮食购销有限公司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明溪县粮食购销有限公司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清流县粮食购销有限公司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宁化县粮食购销有限责任公司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建宁县粮食购销有限公司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泰宁县粮食购销有限责任公司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将乐县粮食购销有限公司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尤溪县粮食购销有限公司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大田县良田粮食储备有限公司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p>
        </w:tc>
      </w:tr>
    </w:tbl>
    <w:p>
      <w:pPr>
        <w:pStyle w:val="14"/>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p>
      <w:pPr>
        <w:pStyle w:val="14"/>
        <w:numPr>
          <w:ilvl w:val="0"/>
          <w:numId w:val="1"/>
        </w:numPr>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项目采购一览表</w:t>
      </w:r>
    </w:p>
    <w:p>
      <w:pPr>
        <w:pStyle w:val="14"/>
        <w:numPr>
          <w:ilvl w:val="0"/>
          <w:numId w:val="0"/>
        </w:numPr>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tbl>
      <w:tblPr>
        <w:tblStyle w:val="11"/>
        <w:tblW w:w="10530" w:type="dxa"/>
        <w:tblInd w:w="-8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145"/>
        <w:gridCol w:w="1920"/>
        <w:gridCol w:w="1170"/>
        <w:gridCol w:w="585"/>
        <w:gridCol w:w="1800"/>
        <w:gridCol w:w="540"/>
        <w:gridCol w:w="750"/>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序号</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标的名称</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服务区域</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最高限价（元）</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数量</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标的金额 （元）</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计量单位</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所属行业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65"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2145"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三明市粮油贸易有限公司信息化建设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1415700</w:t>
            </w:r>
          </w:p>
        </w:tc>
        <w:tc>
          <w:tcPr>
            <w:tcW w:w="585"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3,500,000.00</w:t>
            </w:r>
          </w:p>
        </w:tc>
        <w:tc>
          <w:tcPr>
            <w:tcW w:w="540"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Merge w:val="restart"/>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6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214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三明市荆西粮食和物资储备有限公司信息化建设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877000</w:t>
            </w:r>
          </w:p>
        </w:tc>
        <w:tc>
          <w:tcPr>
            <w:tcW w:w="58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1800"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540"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750"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85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6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214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三明市粮食购销有限公司台江粮库信息化建设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1179600</w:t>
            </w:r>
          </w:p>
        </w:tc>
        <w:tc>
          <w:tcPr>
            <w:tcW w:w="58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1800"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540"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750"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c>
          <w:tcPr>
            <w:tcW w:w="855" w:type="dxa"/>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2</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三明市粮食购销领域监管信息化项目建设（沙县区）</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沙县区粮食购销有限公司信息化建设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271800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315,000.00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3</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三明市粮食购销领域监管信息化项目建设（永安市）</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永安市粮食购销有限公司信息化建设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1574700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2,036,473.88</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4</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三明市粮食购销领域监管信息化项目建设（清流县）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清流县粮食购销有限公司信息化建设（中心库、城关库）</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244400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307,300.00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5</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三明市粮食购销领域监管信息化项目建设（建宁县）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建宁县粮食购销有限公司信息化建设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1713200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1,713,300.00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6</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三明市粮食购销领域监管信息化项目建设（尤溪县）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尤溪县粮食购销有限公司信息化建设（尤溪库、尤溪口库）</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647200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663,100.00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7</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三明市粮食购销领域监管信息化项目建设（大田县）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大田县良田粮食储备有限公司信息化建设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1994300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2,043,000.00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8</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三明市粮食购销领域监管信息化项目建设（明溪县）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明溪县粮食购销有限公司信息化建设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693400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710,365.73</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9</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三明市粮食购销领域监管信息化项目建设（将乐县）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将乐县粮食购销有限公司信息化建设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168600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172,815.00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10</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三明市粮食购销领域监管信息化项目建设（泰宁）</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泰宁县粮食购销有限责任公司信息化建设</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1025700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1,210,000.00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11</w:t>
            </w:r>
          </w:p>
        </w:tc>
        <w:tc>
          <w:tcPr>
            <w:tcW w:w="21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三明市粮食购销领域监管信息化项目建设（宁化县）</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宁化县粮食购销有限责任公司信息化建设（东山桥库、河龙库）</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864900</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1</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886,100.00</w:t>
            </w:r>
          </w:p>
        </w:tc>
        <w:tc>
          <w:tcPr>
            <w:tcW w:w="54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批</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工业</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u w:val="none" w:color="auto"/>
                <w:vertAlign w:val="baseline"/>
                <w:lang w:val="en-US" w:eastAsia="zh-CN"/>
                <w14:textFill>
                  <w14:solidFill>
                    <w14:schemeClr w14:val="tx1"/>
                  </w14:solidFill>
                </w14:textFill>
              </w:rPr>
              <w:t>否</w:t>
            </w:r>
          </w:p>
        </w:tc>
      </w:tr>
    </w:tbl>
    <w:p>
      <w:pPr>
        <w:pStyle w:val="14"/>
        <w:numPr>
          <w:ilvl w:val="0"/>
          <w:numId w:val="0"/>
        </w:numPr>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p>
      <w:pPr>
        <w:pStyle w:val="14"/>
        <w:numPr>
          <w:ilvl w:val="0"/>
          <w:numId w:val="0"/>
        </w:numPr>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p>
      <w:pPr>
        <w:pStyle w:val="14"/>
        <w:numPr>
          <w:ilvl w:val="0"/>
          <w:numId w:val="0"/>
        </w:numPr>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p>
      <w:pPr>
        <w:pStyle w:val="14"/>
        <w:ind w:firstLine="480"/>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备注：</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投标人须按各服务区域（包括市级三个服务区域：三明市粮油贸易有限公司、三明市荆西粮食和物资储备有限公司、三明市粮食购销有限公司台江粮库）分项报价，投标报价不得超过以上设置的各服务区域的最高限价，否则按无效标处理。</w:t>
      </w:r>
    </w:p>
    <w:p>
      <w:pPr>
        <w:pStyle w:val="14"/>
        <w:jc w:val="both"/>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二、技术和服务要求（以“★”标示的内容为不允许负偏离的实质性要求）</w:t>
      </w:r>
    </w:p>
    <w:p>
      <w:pPr>
        <w:pStyle w:val="14"/>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pStyle w:val="14"/>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（一）建设内容</w:t>
      </w:r>
    </w:p>
    <w:p>
      <w:pPr>
        <w:keepNext w:val="0"/>
        <w:keepLines w:val="0"/>
        <w:widowControl/>
        <w:suppressLineNumbers w:val="0"/>
        <w:spacing w:line="360" w:lineRule="auto"/>
        <w:jc w:val="left"/>
        <w:rPr>
          <w:b/>
          <w:bCs/>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本项目的建设内容是根据国家粮食和物资储备局《粮食购销领域监管信息化规范》（国粮规〔2022〕78号）、省粮食和物资储备局《关于加快推进粮食购销领域监管信息化建设的通知》</w:t>
      </w:r>
      <w:r>
        <w:rPr>
          <w:rFonts w:ascii="Calibri" w:hAnsi="Calibri" w:eastAsia="宋体" w:cs="Calibri"/>
          <w:b/>
          <w:bCs/>
          <w:color w:val="000000" w:themeColor="text1"/>
          <w:kern w:val="0"/>
          <w:sz w:val="24"/>
          <w:szCs w:val="24"/>
          <w:highlight w:val="none"/>
          <w:u w:color="000000"/>
          <w:lang w:val="en-US" w:eastAsia="zh-CN" w:bidi="ar"/>
          <w14:textFill>
            <w14:solidFill>
              <w14:schemeClr w14:val="tx1"/>
            </w14:solidFill>
          </w14:textFill>
        </w:rPr>
        <w:t>(</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闽粮规〔</w:t>
      </w:r>
      <w:r>
        <w:rPr>
          <w:rFonts w:hint="default" w:ascii="Calibri" w:hAnsi="Calibri" w:eastAsia="宋体" w:cs="Calibri"/>
          <w:b/>
          <w:bCs/>
          <w:color w:val="000000" w:themeColor="text1"/>
          <w:kern w:val="0"/>
          <w:sz w:val="24"/>
          <w:szCs w:val="24"/>
          <w:highlight w:val="none"/>
          <w:u w:color="000000"/>
          <w:lang w:val="en-US" w:eastAsia="zh-CN" w:bidi="ar"/>
          <w14:textFill>
            <w14:solidFill>
              <w14:schemeClr w14:val="tx1"/>
            </w14:solidFill>
          </w14:textFill>
        </w:rPr>
        <w:t>2023</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w:t>
      </w:r>
      <w:r>
        <w:rPr>
          <w:rFonts w:hint="default" w:ascii="Calibri" w:hAnsi="Calibri" w:eastAsia="宋体" w:cs="Calibri"/>
          <w:b/>
          <w:bCs/>
          <w:color w:val="000000" w:themeColor="text1"/>
          <w:kern w:val="0"/>
          <w:sz w:val="24"/>
          <w:szCs w:val="24"/>
          <w:highlight w:val="none"/>
          <w:u w:color="000000"/>
          <w:lang w:val="en-US" w:eastAsia="zh-CN" w:bidi="ar"/>
          <w14:textFill>
            <w14:solidFill>
              <w14:schemeClr w14:val="tx1"/>
            </w14:solidFill>
          </w14:textFill>
        </w:rPr>
        <w:t xml:space="preserve">96 </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号）等文件要求建设，主要包括</w:t>
      </w:r>
      <w:r>
        <w:rPr>
          <w:rFonts w:hint="default" w:ascii="Calibri" w:hAnsi="Calibri" w:eastAsia="宋体" w:cs="Calibri"/>
          <w:b/>
          <w:bCs/>
          <w:color w:val="000000" w:themeColor="text1"/>
          <w:kern w:val="0"/>
          <w:sz w:val="24"/>
          <w:szCs w:val="24"/>
          <w:highlight w:val="none"/>
          <w:u w:color="000000"/>
          <w:lang w:val="en-US" w:eastAsia="zh-CN" w:bidi="ar"/>
          <w14:textFill>
            <w14:solidFill>
              <w14:schemeClr w14:val="tx1"/>
            </w14:solidFill>
          </w14:textFill>
        </w:rPr>
        <w:t>:</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与省级平台系统对接、智能出入库系统、智能安防监控系统、粮情检测系统、智能通风系统、低温储粮系统、环流熏蒸系统、虫气检测系统、综合控制系统、中心机房设备的建设等。</w:t>
      </w:r>
    </w:p>
    <w:p>
      <w:pPr>
        <w:pStyle w:val="14"/>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pStyle w:val="14"/>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（二）设备分布清单</w:t>
      </w:r>
    </w:p>
    <w:p>
      <w:pPr>
        <w:pStyle w:val="14"/>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p>
    <w:p>
      <w:pPr>
        <w:pStyle w:val="14"/>
        <w:jc w:val="both"/>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三明市粮油贸易有限公司信息化建设（以下简称“荆东库”）</w:t>
      </w:r>
    </w:p>
    <w:p>
      <w:pPr>
        <w:pStyle w:val="14"/>
        <w:jc w:val="both"/>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代储点（白沙）网络服务费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代储点（东站）网络服务费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话筒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室外防水音柱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补光灯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1.5值仓环节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手持终端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电源线（RVV2*1.0）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电源线（RVV3*2.5）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PVC管（PVC20）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网络红外高清球机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64路硬盘录像机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光纤收发器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电源线（RVV2*1.0）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电源线（RVV3*1.5）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单模铠装光纤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光纤熔接</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PVC管（PVC20）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PVC管（PVC25）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代储点（白沙）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显示器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电源线（RVV2*1.0）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PVC管（PVC20）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代储点（东站）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电源线（RVV2*1.0）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PVC管（PVC20）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color w:val="000000" w:themeColor="text1"/>
                <w:sz w:val="24"/>
                <w:szCs w:val="24"/>
                <w:highlight w:val="none"/>
                <w:lang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测温电缆（7米5点）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测温电缆（6.5米4点）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测温电缆（6米4点）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测温电缆（4米3点）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电源线（RVV2*1.5）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PVC管（PVC25）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color w:val="000000" w:themeColor="text1"/>
                <w:sz w:val="24"/>
                <w:szCs w:val="24"/>
                <w:highlight w:val="none"/>
                <w:lang w:eastAsia="zh-CN"/>
                <w14:textFill>
                  <w14:solidFill>
                    <w14:schemeClr w14:val="tx1"/>
                  </w14:solidFill>
                </w14:textFill>
              </w:rPr>
              <w:t>温储粮系统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仓储专用空调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降温机组强电供电线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穿线管（PVC32）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UPS（6KVA）</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widowControl/>
              <w:ind w:firstLine="560" w:firstLineChars="0"/>
              <w:textAlignment w:val="cente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机房</w:t>
            </w:r>
            <w:r>
              <w:rPr>
                <w:rFonts w:ascii="宋体" w:hAnsi="宋体" w:eastAsia="宋体" w:cs="宋体"/>
                <w:color w:val="000000" w:themeColor="text1"/>
                <w:kern w:val="0"/>
                <w:sz w:val="24"/>
                <w:szCs w:val="24"/>
                <w:highlight w:val="none"/>
                <w:lang w:bidi="ar"/>
                <w14:textFill>
                  <w14:solidFill>
                    <w14:schemeClr w14:val="tx1"/>
                  </w14:solidFill>
                </w14:textFill>
              </w:rPr>
              <w:t>空调</w:t>
            </w:r>
            <w:r>
              <w:rPr>
                <w:rFonts w:hint="eastAsia" w:ascii="宋体" w:hAnsi="宋体" w:eastAsia="宋体" w:cs="宋体"/>
                <w:color w:val="000000" w:themeColor="text1"/>
                <w:kern w:val="0"/>
                <w:sz w:val="24"/>
                <w:szCs w:val="24"/>
                <w:highlight w:val="none"/>
                <w:lang w:eastAsia="zh-CN" w:bidi="ar"/>
                <w14:textFill>
                  <w14:solidFill>
                    <w14:schemeClr w14:val="tx1"/>
                  </w14:solidFill>
                </w14:textFill>
              </w:rPr>
              <w:t>（</w:t>
            </w:r>
            <w:r>
              <w:rPr>
                <w:rFonts w:hint="eastAsia" w:ascii="宋体" w:hAnsi="宋体" w:eastAsia="宋体" w:cs="宋体"/>
                <w:color w:val="000000" w:themeColor="text1"/>
                <w:kern w:val="0"/>
                <w:sz w:val="24"/>
                <w:szCs w:val="24"/>
                <w:highlight w:val="none"/>
                <w:lang w:bidi="ar"/>
                <w14:textFill>
                  <w14:solidFill>
                    <w14:schemeClr w14:val="tx1"/>
                  </w14:solidFill>
                </w14:textFill>
              </w:rPr>
              <w:t>2匹</w:t>
            </w:r>
            <w:r>
              <w:rPr>
                <w:rFonts w:ascii="宋体" w:hAnsi="宋体" w:eastAsia="宋体" w:cs="宋体"/>
                <w:color w:val="000000" w:themeColor="text1"/>
                <w:kern w:val="0"/>
                <w:sz w:val="24"/>
                <w:szCs w:val="24"/>
                <w:highlight w:val="none"/>
                <w:lang w:bidi="ar"/>
                <w14:textFill>
                  <w14:solidFill>
                    <w14:schemeClr w14:val="tx1"/>
                  </w14:solidFill>
                </w14:textFill>
              </w:rPr>
              <w:t>挂机变频配套</w:t>
            </w:r>
            <w:r>
              <w:rPr>
                <w:rFonts w:hint="eastAsia" w:ascii="宋体" w:hAnsi="宋体" w:eastAsia="宋体" w:cs="宋体"/>
                <w:color w:val="000000" w:themeColor="text1"/>
                <w:kern w:val="0"/>
                <w:sz w:val="24"/>
                <w:szCs w:val="24"/>
                <w:highlight w:val="none"/>
                <w:lang w:eastAsia="zh-CN" w:bidi="ar"/>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w:t>
            </w:r>
            <w:r>
              <w:rPr>
                <w:rFonts w:ascii="宋体" w:hAnsi="宋体" w:eastAsia="宋体" w:cs="宋体"/>
                <w:color w:val="000000" w:themeColor="text1"/>
                <w:kern w:val="0"/>
                <w:sz w:val="24"/>
                <w:szCs w:val="24"/>
                <w:highlight w:val="none"/>
                <w:lang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w:t>
            </w:r>
            <w:r>
              <w:rPr>
                <w:rFonts w:ascii="宋体" w:hAnsi="宋体" w:eastAsia="宋体" w:cs="宋体"/>
                <w:color w:val="000000" w:themeColor="text1"/>
                <w:kern w:val="0"/>
                <w:sz w:val="24"/>
                <w:szCs w:val="24"/>
                <w:highlight w:val="none"/>
                <w:lang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w:t>
            </w:r>
            <w:r>
              <w:rPr>
                <w:rFonts w:ascii="宋体" w:hAnsi="宋体" w:eastAsia="宋体" w:cs="宋体"/>
                <w:color w:val="000000" w:themeColor="text1"/>
                <w:kern w:val="0"/>
                <w:sz w:val="24"/>
                <w:szCs w:val="24"/>
                <w:highlight w:val="none"/>
                <w:lang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机房静电地板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24.32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widowControl/>
              <w:ind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1</w:t>
            </w:r>
            <w:r>
              <w:rPr>
                <w:rFonts w:ascii="宋体" w:hAnsi="宋体" w:eastAsia="宋体" w:cs="宋体"/>
                <w:color w:val="000000" w:themeColor="text1"/>
                <w:kern w:val="0"/>
                <w:sz w:val="24"/>
                <w:szCs w:val="24"/>
                <w:highlight w:val="none"/>
                <w:lang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荆东库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笔记电脑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bl>
    <w:p>
      <w:pPr>
        <w:pStyle w:val="14"/>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p>
      <w:pPr>
        <w:pStyle w:val="14"/>
        <w:jc w:val="both"/>
        <w:outlineLvl w:val="2"/>
        <w:rPr>
          <w:rFonts w:hint="eastAsia" w:ascii="宋体" w:hAnsi="宋体" w:eastAsia="宋体" w:cs="宋体"/>
          <w:b/>
          <w:color w:val="000000" w:themeColor="text1"/>
          <w:sz w:val="24"/>
          <w:szCs w:val="24"/>
          <w:highlight w:val="none"/>
          <w:lang w:eastAsia="zh-CN"/>
          <w14:textFill>
            <w14:solidFill>
              <w14:schemeClr w14:val="tx1"/>
            </w14:solidFill>
          </w14:textFill>
        </w:rPr>
      </w:pPr>
    </w:p>
    <w:p>
      <w:pPr>
        <w:pStyle w:val="14"/>
        <w:numPr>
          <w:ilvl w:val="0"/>
          <w:numId w:val="2"/>
        </w:numPr>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t>三明市荆西粮食和物资储备有限公司信息化建设（以下简称“荆西库”）</w:t>
      </w:r>
    </w:p>
    <w:p>
      <w:pPr>
        <w:pStyle w:val="14"/>
        <w:numPr>
          <w:ilvl w:val="0"/>
          <w:numId w:val="0"/>
        </w:numPr>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荆西库网络服务费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1.5值仓环节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手持终端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color w:val="000000" w:themeColor="text1"/>
                <w:sz w:val="24"/>
                <w:szCs w:val="24"/>
                <w:highlight w:val="none"/>
                <w:lang w:eastAsia="zh-CN"/>
                <w14:textFill>
                  <w14:solidFill>
                    <w14:schemeClr w14:val="tx1"/>
                  </w14:solidFill>
                </w14:textFill>
              </w:rPr>
              <w:t>环流熏蒸系统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环流风机改造</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环流管道（￠108*1.5）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环流管道（￠89*1.5）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环流熏蒸电控装置</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气体取样装置</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磷化氢气体检测仪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荆西库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pStyle w:val="14"/>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p>
    <w:p>
      <w:pPr>
        <w:pStyle w:val="14"/>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p>
    <w:p>
      <w:pPr>
        <w:pStyle w:val="14"/>
        <w:numPr>
          <w:ilvl w:val="0"/>
          <w:numId w:val="2"/>
        </w:numPr>
        <w:ind w:left="0" w:leftChars="0" w:firstLine="0" w:firstLineChars="0"/>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t>三明市粮食购销有限公司台江粮库信息化建设（以下简称“台江库”）</w:t>
      </w:r>
    </w:p>
    <w:p>
      <w:pPr>
        <w:pStyle w:val="14"/>
        <w:numPr>
          <w:ilvl w:val="0"/>
          <w:numId w:val="0"/>
        </w:numPr>
        <w:ind w:leftChars="0"/>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台江库网络服务费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代储点东站网络服务费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话筒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室外防水音柱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补光灯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1.5值仓环节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手持终端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 </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代储点（东站）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四、</w:t>
            </w:r>
            <w:r>
              <w:rPr>
                <w:rFonts w:hint="eastAsia" w:ascii="宋体" w:hAnsi="宋体" w:eastAsia="宋体" w:cs="宋体"/>
                <w:b/>
                <w:color w:val="000000" w:themeColor="text1"/>
                <w:sz w:val="24"/>
                <w:szCs w:val="24"/>
                <w:highlight w:val="none"/>
                <w:lang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测温电缆（6米4点）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低</w:t>
            </w:r>
            <w:r>
              <w:rPr>
                <w:rFonts w:hint="eastAsia" w:ascii="宋体" w:hAnsi="宋体" w:eastAsia="宋体" w:cs="宋体"/>
                <w:b/>
                <w:color w:val="000000" w:themeColor="text1"/>
                <w:sz w:val="24"/>
                <w:szCs w:val="24"/>
                <w:highlight w:val="none"/>
                <w:lang w:eastAsia="zh-CN"/>
                <w14:textFill>
                  <w14:solidFill>
                    <w14:schemeClr w14:val="tx1"/>
                  </w14:solidFill>
                </w14:textFill>
              </w:rPr>
              <w:t>温储粮系统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仓储专用空调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降温机组强电供电线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穿线管（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PVC32</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解码器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台江库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笔记电脑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pStyle w:val="14"/>
        <w:numPr>
          <w:ilvl w:val="0"/>
          <w:numId w:val="0"/>
        </w:numPr>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p>
    <w:p>
      <w:pPr>
        <w:pStyle w:val="14"/>
        <w:numPr>
          <w:ilvl w:val="0"/>
          <w:numId w:val="0"/>
        </w:numPr>
        <w:jc w:val="both"/>
        <w:outlineLvl w:val="2"/>
        <w:rPr>
          <w:rFonts w:hint="eastAsia" w:ascii="宋体" w:hAnsi="宋体" w:eastAsia="宋体" w:cs="宋体"/>
          <w:b/>
          <w:bCs w:val="0"/>
          <w:i w:val="0"/>
          <w:iCs w:val="0"/>
          <w:color w:val="000000" w:themeColor="text1"/>
          <w:kern w:val="0"/>
          <w:sz w:val="24"/>
          <w:szCs w:val="24"/>
          <w:highlight w:val="none"/>
          <w:u w:val="none" w:color="000000"/>
          <w:lang w:val="en-US" w:eastAsia="zh-CN" w:bidi="ar"/>
          <w14:textFill>
            <w14:solidFill>
              <w14:schemeClr w14:val="tx1"/>
            </w14:solidFill>
          </w14:textFill>
        </w:rPr>
      </w:pPr>
    </w:p>
    <w:p>
      <w:pPr>
        <w:pStyle w:val="14"/>
        <w:numPr>
          <w:ilvl w:val="0"/>
          <w:numId w:val="3"/>
        </w:numPr>
        <w:jc w:val="both"/>
        <w:outlineLvl w:val="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沙县区粮食购销有限公司信息化建设（以下简称“</w:t>
      </w:r>
      <w:r>
        <w:rPr>
          <w:rFonts w:hint="eastAsia" w:ascii="宋体" w:hAnsi="宋体" w:eastAsia="宋体" w:cs="宋体"/>
          <w:b/>
          <w:color w:val="000000" w:themeColor="text1"/>
          <w:sz w:val="24"/>
          <w:szCs w:val="24"/>
          <w:highlight w:val="none"/>
          <w:lang w:eastAsia="zh-CN"/>
          <w14:textFill>
            <w14:solidFill>
              <w14:schemeClr w14:val="tx1"/>
            </w14:solidFill>
          </w14:textFill>
        </w:rPr>
        <w:t>沙县</w:t>
      </w:r>
      <w:r>
        <w:rPr>
          <w:rFonts w:hint="eastAsia" w:ascii="宋体" w:hAnsi="宋体" w:eastAsia="宋体" w:cs="宋体"/>
          <w:b/>
          <w:color w:val="000000" w:themeColor="text1"/>
          <w:sz w:val="24"/>
          <w:szCs w:val="24"/>
          <w:highlight w:val="none"/>
          <w14:textFill>
            <w14:solidFill>
              <w14:schemeClr w14:val="tx1"/>
            </w14:solidFill>
          </w14:textFill>
        </w:rPr>
        <w:t>库”）</w:t>
      </w: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沙县库网络服务费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代储点恒兴米业网络服务费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代储点金沙卢氏粮油网络服务费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二、智能安防监控系统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代储点恒兴米业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代储点金沙卢氏粮油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color w:val="000000" w:themeColor="text1"/>
                <w:sz w:val="24"/>
                <w:szCs w:val="24"/>
                <w:highlight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笔记本电脑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测温电缆（6米4点）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沙县库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pStyle w:val="14"/>
        <w:numPr>
          <w:ilvl w:val="0"/>
          <w:numId w:val="0"/>
        </w:numPr>
        <w:jc w:val="both"/>
        <w:outlineLvl w:val="2"/>
        <w:rPr>
          <w:rFonts w:hint="eastAsia" w:ascii="宋体" w:hAnsi="宋体" w:eastAsia="宋体" w:cs="宋体"/>
          <w:b/>
          <w:color w:val="000000" w:themeColor="text1"/>
          <w:sz w:val="24"/>
          <w:szCs w:val="24"/>
          <w:highlight w:val="none"/>
          <w:lang w:val="en-US" w:eastAsia="zh-CN"/>
          <w14:textFill>
            <w14:solidFill>
              <w14:schemeClr w14:val="tx1"/>
            </w14:solidFill>
          </w14:textFill>
        </w:rPr>
      </w:pPr>
    </w:p>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3"/>
        </w:numPr>
        <w:suppressLineNumbers w:val="0"/>
        <w:ind w:left="0" w:leftChars="0" w:firstLine="0" w:firstLineChars="0"/>
        <w:jc w:val="both"/>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永安市粮食购销有限公司信息化建设（以下简称“永安库”）</w:t>
      </w:r>
    </w:p>
    <w:p>
      <w:pPr>
        <w:keepNext w:val="0"/>
        <w:keepLines w:val="0"/>
        <w:widowControl/>
        <w:numPr>
          <w:ilvl w:val="0"/>
          <w:numId w:val="0"/>
        </w:numPr>
        <w:suppressLineNumbers w:val="0"/>
        <w:ind w:leftChars="0"/>
        <w:jc w:val="both"/>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永安库网络服务费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自动道闸</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扦样机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话筒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室外防水音柱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补光灯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自动道闸</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触发雷达</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1.5值仓环节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手持终端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64路硬盘录像机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光纤收发器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单模铠装光纤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光纤熔接</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测温电缆（5米4点）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智能通风系统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通风窗（1200mm*900mm）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通风窗（800mm*800mm）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拆除旧通风窗</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六、</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环流熏蒸系统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新型不锈钢连体保温通风口</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防爆混流风机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拆除旧通风口</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七、</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UPS（6KVA）</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机房静电地板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液晶拼接屏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解码器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多功能液晶控制终端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永安库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3"/>
        </w:numPr>
        <w:suppressLineNumbers w:val="0"/>
        <w:ind w:left="0" w:leftChars="0" w:firstLine="0" w:firstLine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明溪县粮食购销有限公司信息化建设（以下简称“明溪库”）</w:t>
      </w: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明溪库网络服务费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1.4值仓环节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手持终端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低</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温储粮系统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仓储专用空调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降温机组强电供电线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穿线管（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PVC32</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明溪库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numPr>
          <w:ilvl w:val="0"/>
          <w:numId w:val="3"/>
        </w:numPr>
        <w:suppressLineNumbers w:val="0"/>
        <w:ind w:left="0" w:leftChars="0" w:firstLine="0" w:firstLine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清流县粮食购销有限公司信息化建设（中心库）（以下简称“清流中心库”）</w:t>
      </w: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测温电缆（6米4点）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t>清流中心库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210</w:t>
            </w:r>
          </w:p>
        </w:tc>
      </w:tr>
    </w:tbl>
    <w:p>
      <w:pPr>
        <w:keepNext w:val="0"/>
        <w:keepLines w:val="0"/>
        <w:widowControl/>
        <w:suppressLineNumbers w:val="0"/>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0"/>
        </w:numPr>
        <w:suppressLineNumbers w:val="0"/>
        <w:ind w:left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8、清流县粮食购销有限公司信息化建设（城关库）（以下简称“清流城关库”）</w:t>
      </w: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城关库网络服务费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网络红外高清球机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32路硬盘录像机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光纤收发器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单模铠装光纤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测温电缆（3米3点）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清流城关库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180</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0"/>
        </w:numPr>
        <w:suppressLineNumbers w:val="0"/>
        <w:ind w:left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9、宁化县粮食购销有限责任公司信息化建设（河龙库）（以下简称“宁化河龙库”）</w:t>
      </w: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河龙库网络服务费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64路硬盘录像机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无线网桥</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UPS（6KVA）</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宁化河龙库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suppressLineNumbers w:val="0"/>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default"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10、</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宁化县粮食购销有限责任公司信息化建设（东山桥库）（以下简称“宁化东山桥库”）</w:t>
      </w:r>
    </w:p>
    <w:p>
      <w:pPr>
        <w:keepNext w:val="0"/>
        <w:keepLines w:val="0"/>
        <w:widowControl/>
        <w:suppressLineNumbers w:val="0"/>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东山桥网络服务费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宁化东山桥库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34</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4"/>
        </w:numPr>
        <w:suppressLineNumbers w:val="0"/>
        <w:ind w:left="0" w:leftChars="0" w:firstLine="0" w:firstLine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建宁县粮食购销有限公司信息化建设（以下简称“建宁库”）</w:t>
      </w:r>
    </w:p>
    <w:p>
      <w:pPr>
        <w:keepNext w:val="0"/>
        <w:keepLines w:val="0"/>
        <w:widowControl/>
        <w:numPr>
          <w:ilvl w:val="0"/>
          <w:numId w:val="0"/>
        </w:numPr>
        <w:suppressLineNumbers w:val="0"/>
        <w:ind w:left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建宁库网络服务费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1.2检验扦样环节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话筒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室外防水音柱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补光灯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自动道闸</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触发雷达</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磅房空调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网络红外高清球机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64路硬盘录像机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门卫分控显示器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门卫分控解码器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光纤收发器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单模铠装光纤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测温电缆（4米3点）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五、</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智能通风系统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通风窗改造（1150*1150*50mm）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通风窗改造（750*750*50mm）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轴流风机改造</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低温储粮系统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仓储专用空调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降温机组强电供电线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穿线管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旧空调拆除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七、</w:t>
            </w:r>
            <w:r>
              <w:rPr>
                <w:rFonts w:hint="eastAsia" w:ascii="宋体" w:hAnsi="宋体" w:eastAsia="宋体" w:cs="宋体"/>
                <w:b/>
                <w:color w:val="000000" w:themeColor="text1"/>
                <w:sz w:val="24"/>
                <w:szCs w:val="24"/>
                <w:highlight w:val="none"/>
                <w:lang w:eastAsia="zh-CN"/>
                <w14:textFill>
                  <w14:solidFill>
                    <w14:schemeClr w14:val="tx1"/>
                  </w14:solidFill>
                </w14:textFill>
              </w:rPr>
              <w:t>环流熏蒸系统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环流风机改造（含拆除原风机）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环流管道（￠108*1.5 ）</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环流管道（￠89*1.5）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环流熏蒸电控装置</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气体取样装置</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磷化氢气体检测仪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八、</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UPS（6KVA）</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会议室空调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机房静电地板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液晶拼接屏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解码器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多功能液晶控制终端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t>建宁库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numPr>
          <w:ilvl w:val="0"/>
          <w:numId w:val="4"/>
        </w:numPr>
        <w:suppressLineNumbers w:val="0"/>
        <w:ind w:left="0" w:leftChars="0" w:firstLine="0" w:firstLine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泰宁县粮食购销有限责任公司信息化建设（以下简称“泰宁库”）</w:t>
      </w: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话筒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室外防水音柱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补光灯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结算环节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银行卡读写器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64路硬盘录像机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光纤收发器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单模铠装光纤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测温电缆（5米4点）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测温电缆（6米4点）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UPS（6KVA）</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机房静电地板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液晶拼接屏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解码器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多功能液晶控制终端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泰宁库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default"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13、</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将乐县粮食购销有限公司信息化建设（以下简称“将乐库”）</w:t>
      </w:r>
    </w:p>
    <w:p>
      <w:pPr>
        <w:keepNext w:val="0"/>
        <w:keepLines w:val="0"/>
        <w:widowControl/>
        <w:suppressLineNumbers w:val="0"/>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2293"/>
        <w:gridCol w:w="4200"/>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将乐库</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将乐库</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将乐库网络服务费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36</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default"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14、</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尤溪县粮食购销有限公司信息化建设（尤溪库）（以下简称“尤溪库”）</w:t>
      </w:r>
    </w:p>
    <w:p>
      <w:pPr>
        <w:keepNext w:val="0"/>
        <w:keepLines w:val="0"/>
        <w:widowControl/>
        <w:suppressLineNumbers w:val="0"/>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物流园代储点网络服务费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西城代储点网络服务费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尤溪库物流园代储点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尤溪库西城代储点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color w:val="000000" w:themeColor="text1"/>
                <w:sz w:val="24"/>
                <w:szCs w:val="24"/>
                <w:highlight w:val="none"/>
                <w:lang w:eastAsia="zh-CN"/>
                <w14:textFill>
                  <w14:solidFill>
                    <w14:schemeClr w14:val="tx1"/>
                  </w14:solidFill>
                </w14:textFill>
              </w:rPr>
              <w:t>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尤溪县粮食购销有限公司信息化建设（尤溪口库）（以下简称“尤溪口库”）</w:t>
      </w:r>
    </w:p>
    <w:p>
      <w:pPr>
        <w:keepNext w:val="0"/>
        <w:keepLines w:val="0"/>
        <w:widowControl/>
        <w:numPr>
          <w:ilvl w:val="0"/>
          <w:numId w:val="0"/>
        </w:numPr>
        <w:suppressLineNumbers w:val="0"/>
        <w:ind w:leftChars="0"/>
        <w:jc w:val="left"/>
        <w:textAlignment w:val="center"/>
        <w:rPr>
          <w:rFonts w:hint="default"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75"/>
              </w:tabs>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65寸液晶显示器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32路硬盘录像机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测温电缆（4米3点）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尤溪口库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225</w:t>
            </w:r>
          </w:p>
        </w:tc>
      </w:tr>
    </w:tbl>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suppressLineNumbers w:val="0"/>
        <w:ind w:left="0" w:leftChars="0" w:firstLine="0" w:firstLineChars="0"/>
        <w:jc w:val="left"/>
        <w:textAlignment w:val="center"/>
        <w:rPr>
          <w:rFonts w:hint="default"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16、</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大田县良田粮食储备有限公司信息化建设（以下简称“大田库”）</w:t>
      </w:r>
    </w:p>
    <w:p>
      <w:pPr>
        <w:keepNext w:val="0"/>
        <w:keepLines w:val="0"/>
        <w:widowControl/>
        <w:suppressLineNumbers w:val="0"/>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库点名称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大田库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省平台软件三年服务费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代储点1网络服务费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代储点2网络服务费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代储点3网络服务费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代储点4网络服务费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1.1门岗登记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1.2扦样环节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条码打印机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1.3检验环节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扫描枪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质检显示屏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1.4称重环节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计量一体机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话筒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室外防水音柱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补光灯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LED显示设备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红外对射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网络红外高清枪机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枪机监控立杆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结算环节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IC卡读卡器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票据打印机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银行卡读写器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二代身份证阅读器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桌面摄像头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双绞线缆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RVV3*2.5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left"/>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网络红外高清球机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网络红外半球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仓内防熏蒸网络球型摄像机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64路硬盘录像机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监控系统软件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安防箱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光纤收发器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二合一防雷器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单模铠装光纤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热镀锌管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挖沟槽、管道土方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代储点4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高清网络红外枪型摄像机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8路硬盘录像机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8TB监控硬盘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打印机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粮情分机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测温电缆（6米4点）</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仓外温湿度传感器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仓内通讯线缆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通讯线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RVV2*1.5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PVC25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五、</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虫气检测系统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二氧化碳传感器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氧气传感器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磷化氢传感器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通道选通器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主控模块</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虫害及气体检测模块</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害虫诱捕器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取样检测导管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虫害及气体检测护管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虫害及气体检测过墙装置</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六、智能通风系统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通风窗自动执行机构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通风口自动执行机构</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气象站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串口通讯服务器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执行机构信号线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PVC32</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七、综合控制系统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综合控制柜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控制柜基础</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八、仓房能耗系统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智能电表与互感线圈</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九、中心机房设备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核心交换机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千兆防火墙</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数据安全网关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应用服务器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机柜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UPS（6KVA）</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微型断路器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空开网关</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机房空调</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烟感报警器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气体灭火设备</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液晶拼接屏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解码器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多功能液晶控制终端</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56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大田库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p>
    <w:p>
      <w:pPr>
        <w:keepNext w:val="0"/>
        <w:keepLines w:val="0"/>
        <w:widowControl/>
        <w:numPr>
          <w:ilvl w:val="0"/>
          <w:numId w:val="6"/>
        </w:numPr>
        <w:suppressLineNumbers w:val="0"/>
        <w:spacing w:line="360" w:lineRule="auto"/>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技术要求</w:t>
      </w:r>
    </w:p>
    <w:tbl>
      <w:tblPr>
        <w:tblStyle w:val="10"/>
        <w:tblW w:w="90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48"/>
        <w:gridCol w:w="2245"/>
        <w:gridCol w:w="45"/>
        <w:gridCol w:w="4155"/>
        <w:gridCol w:w="1050"/>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序号</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设备名称</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技术参数要求</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一、</w:t>
            </w:r>
            <w:r>
              <w:rPr>
                <w:rFonts w:hint="eastAsia" w:ascii="宋体" w:hAnsi="宋体" w:eastAsia="宋体" w:cs="宋体"/>
                <w:b/>
                <w:color w:val="000000" w:themeColor="text1"/>
                <w:sz w:val="24"/>
                <w:szCs w:val="24"/>
                <w:highlight w:val="none"/>
                <w:lang w:eastAsia="zh-CN"/>
                <w14:textFill>
                  <w14:solidFill>
                    <w14:schemeClr w14:val="tx1"/>
                  </w14:solidFill>
                </w14:textFill>
              </w:rPr>
              <w:t>省平台服务费及网络服务费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省平台软件三年服务费</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8"/>
              <w:numPr>
                <w:ilvl w:val="0"/>
                <w:numId w:val="0"/>
              </w:numPr>
              <w:spacing w:before="75" w:beforeAutospacing="0" w:after="75" w:afterAutospacing="0"/>
              <w:ind w:right="0" w:rightChars="0"/>
              <w:jc w:val="both"/>
              <w:rPr>
                <w:rFonts w:hint="eastAsia" w:ascii="宋体" w:hAnsi="宋体" w:eastAsia="宋体" w:cs="宋体"/>
                <w:i w:val="0"/>
                <w:iCs w:val="0"/>
                <w:color w:val="000000" w:themeColor="text1"/>
                <w:sz w:val="24"/>
                <w:szCs w:val="24"/>
                <w:highlight w:val="none"/>
                <w:u w:val="none"/>
                <w:lang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1、须承建的库区：荆东库、荆西库、台江库、永安库、明溪库、宁化河龙库、建宁库、泰宁库、将乐库、尤溪库、大田库；包含三年运行维护费、已建设备对接等市、县级粮库信息系统部署实施服务费等。</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网络服务费</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1、50M固定IP地址；</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r>
              <w:rPr>
                <w:rFonts w:hint="eastAsia" w:ascii="宋体" w:hAnsi="宋体" w:eastAsia="宋体" w:cs="宋体"/>
                <w:i w:val="0"/>
                <w:iCs w:val="0"/>
                <w:color w:val="000000" w:themeColor="text1"/>
                <w:sz w:val="24"/>
                <w:szCs w:val="24"/>
                <w:highlight w:val="none"/>
                <w:u w:val="none"/>
                <w:lang w:eastAsia="zh-CN"/>
                <w14:textFill>
                  <w14:solidFill>
                    <w14:schemeClr w14:val="tx1"/>
                  </w14:solidFill>
                </w14:textFill>
              </w:rPr>
              <w:t>须承建的库区：荆东库、荆西库、台江库、永安库、明溪库、宁化河龙库、建宁库、泰宁库、将乐库、尤溪库、大田库</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网络服务费</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1、100M固定IP地址；</w:t>
            </w:r>
          </w:p>
          <w:p>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r>
              <w:rPr>
                <w:rFonts w:hint="eastAsia" w:ascii="宋体" w:hAnsi="宋体" w:eastAsia="宋体" w:cs="宋体"/>
                <w:i w:val="0"/>
                <w:iCs w:val="0"/>
                <w:color w:val="000000" w:themeColor="text1"/>
                <w:sz w:val="24"/>
                <w:szCs w:val="24"/>
                <w:highlight w:val="none"/>
                <w:u w:val="none"/>
                <w:lang w:eastAsia="zh-CN"/>
                <w14:textFill>
                  <w14:solidFill>
                    <w14:schemeClr w14:val="tx1"/>
                  </w14:solidFill>
                </w14:textFill>
              </w:rPr>
              <w:t>须承建的库区：沙县库</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网络服务费</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50M广域网；</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2、须承建的库区：清流城关库、宁化东山桥库、尤溪口库</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网络服务费</w:t>
            </w:r>
          </w:p>
        </w:tc>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20M广域网；</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须承建的库区：荆东库（白沙代储点、东站代储点）、台江库东站代储点、沙县库（恒兴米业代储点、金沙卢氏粮油代储点）尤溪库（物流园代储点、西城代储点）、大田库（代储点1、代储点2、代储点3、代储点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sz w:val="24"/>
                <w:szCs w:val="24"/>
                <w:highlight w:val="none"/>
                <w:u w:val="none"/>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4"/>
              <w:jc w:val="both"/>
              <w:outlineLvl w:val="2"/>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w:t>
            </w:r>
            <w:r>
              <w:rPr>
                <w:rFonts w:hint="eastAsia" w:ascii="宋体" w:hAnsi="宋体" w:eastAsia="宋体" w:cs="宋体"/>
                <w:b/>
                <w:color w:val="000000" w:themeColor="text1"/>
                <w:sz w:val="24"/>
                <w:szCs w:val="24"/>
                <w:highlight w:val="none"/>
                <w:lang w:eastAsia="zh-CN"/>
                <w14:textFill>
                  <w14:solidFill>
                    <w14:schemeClr w14:val="tx1"/>
                  </w14:solidFill>
                </w14:textFill>
              </w:rPr>
              <w:t>出入库系统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1、标准白卡外形，mifare1卡，感应频率为13.56MHZ，16个扇区，容量1K，PVC材质。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张</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IC卡读卡器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1、频率：≥13.56MHz，支持读写ISO14443 Type A标准的非接触卡；</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2、感应距离≤5cm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3、USB通讯、USB供电；</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4、读卡时间：小于200ms。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二代身份证阅读器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1、USB接口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2、频率≥13.56MHz，读卡距离≤5cm。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桌面摄像头</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1、分辨率：≥1920×1080，</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2、传感器类型：CMOS，自动对焦。</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传感器类型：1/3”ProgressiveScanCMOS；</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▲2、最小照度：彩色0.002Lux@(F1.4,AGCON，关闭帧积累，彩色模式)，黑白0.0002Lux@(F1.4,AGCON，关闭帧积累，黑白模式)，</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3、快门：1/30秒至1/100,000秒；支持ICR切换；</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4、视频压缩标准：H.265/H.264/M_JPEG；</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5、压缩输出码率：32Kbps~16Mbps；</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6、图像分辨率：≥1920*1592(含OSD叠加)；</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7、视频亮度自适应：可以根据光源亮度变化，将视频图像亮度自动调节至正常显示；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8、宽动态范围：95dB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9、通讯接口：1 个RJ45 10M/100M,自适应以太网口，1个 RS-485 接口，外部接口：3路触发输入，其中1路IO触发输入、2路报警输入；2路继电器输出，支持道闸开、关、停；</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10、车辆捕获率：白天≥99%，夜间≥99%；</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11、车牌识别率：白天≥99%，夜间≥99%；</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12、外接道闸控制：布防状态下可根据存储黑白名单自动控制外接道闸开/换。</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车牌识别摄像机立杆</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1、高度不低于1.5米，含预埋板、螺栓组件、立杆基础制作、安装。如有特殊情况，根据实际情况定制。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1、处理器：≥Intel 酷睿i7；主频2.9GHz，八核心，2GHz及以上独显；</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2、内存：≥16G；</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3、存储：≥1T+256GSSD；</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4、其他：21.5英寸显示屏，出厂预装windows10操作系统，含鼠标和键盘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pStyle w:val="14"/>
              <w:jc w:val="center"/>
              <w:outlineLvl w:val="2"/>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1、端口：8个10/100/1000Base-T 电口，2个1GE SFP口，1个RJ45 Console口；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2、MAC地址表：支持16K MAC地址容量，支持MAC地址自动学习和老化，支持静态MAC，支持基于端口和VLAN的MAC地址学习个数限制；</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3、VLAN特性：支持4K个VLAN，支持基于MAC/协议/IP子网//端口的VLAN。</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条码打印机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1、USB接口，支持一维码、二维码标签打印机；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2、热敏或热转印；</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3、分辨率203 dpi（8点/毫米）</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4、标配：8 MB SDRAM；8 MB闪存；</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5、打印宽度最长4.09 英寸/104 毫米；打印长度39 英寸（991 毫米）；打印速度4 英寸（102 毫米）/秒；</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扫描枪</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1、分辨率不低于752×480，</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2、可识读全部国际标准一维条码和主流二维码（QR Code，DataMatrix，PDF417,Aztec，Maxicode等）；</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3、USB接口；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4、解码速度300次每秒，识读精度≥3mil，工业等级不低于IP54。</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质检显示屏</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1、P10 1R室外单色显示屏，屏体尺寸1920*2240mm（长*高），分辨率为224*192及以上，含边框、立杆、基础，同步控制软件。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计量一体机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室内环境使用。柜体材质采用1.5mm厚冷轧钢板，表面喷塑工艺，前后门设计。19寸触摸屏，分辨率1280*1024。内置UPS，系统可集成IC与身份证读卡器、二维码扫描器、热敏小票打印机、迷你摄像头等，支持各种扩展外设隔离连接控制；用于对地磅周围设备进行控制；</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2、CPU:≥Intel I5四核心 3.2GHZ；</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3、内存：≥16G；</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4、硬盘：≥256G SSD固态盘；</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5、I/O接口：≥4个USB3.0，≥2个USB2.0，≥2个 RS-232/422/485接口，≥4个 RS-232，≥1个 VGA，≥1个 HDMI，≥2个千兆网口；</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6、系统：自带Windows10系统；</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7、控制器件：内置串口服务器和IO控制器，IO控制器不低于8路输入和8路继电器输出；</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8、工作电压：AC145V-275V，频率：47Hz-63Hz，功率：＜200W；</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话筒</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1、咪头形式，指向：Cardioid；频率响应：40~20000Hz；灵敏度：-42±2dB；输出阻抗：2.2KΩ；拾音距离：20~70cm。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室外防水音柱</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1、功率≥60W</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补光灯</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1、功率不低于50W，室外用，防护等级≥ IP66，可靠防水、防尘、防眩，最佳补光距离：16米-25米，AC220V，含安装组件。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LED显示设备</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1、P10 1R室外单色显示屏，屏体尺寸960mm*320mm，含边框，同步控制软件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红外对射</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1、室外三光束主动红外对射探测器，探测距离0-50米，三光束室外主动红外探测器，室内警戒距离：450m，感应速度：50-700m/s，报警输出：1路继电器接点输出（含立杆）。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网络红外高清枪机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1.400万1/3”CMOS ICR红外阵列筒型网络摄像机；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▲2、焦距&amp;视场角: 2.7~12 mm，水平视场角：96.7°~29.7°，垂直视场角：51.7°~16.7°，对角视场角：114.3°~34°，</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3.最低照度:彩色：0.005 Lux @（F1.2，AGC ON），0 Lux with IR；</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4.宽动态:120 dB；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5.红外距离:最远可达30 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6.视频压缩标准:主码流：H.265/H.264；</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7.网络存储:支持NAS（NFS，SMB/CIFS均支持），支持Micro SD(即TF卡)/Micro SDHC/Micro SDXC卡（最大256 GB），断网本地录像存储及断网续传；</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8.网络:1个RJ45 10 M/100 M自适应以太网口；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9.防护:≥IP67。</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枪机监控立杆</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1、高度6米，4米横杆，含预埋板、螺栓组件、地笼。C25钢筋混凝土基础：800mm*800mm*1000mm。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枪机监控立杆（台江库区）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1、不低于2米横杆、墙壁安装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二合一防雷器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1、工作电压：220V，最大通流容量：10kA;网络部分：最大持续工作电压：5V、标称放电电流：3kA、最大通流容量：5kA、保护水平：≤25V、响应时间：≤1ns。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安防箱</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1、304不锈钢，400*300mm，含接线端子。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票据打印机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1、24针82列平推票据打印机；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2、打印方式:串行点阵击打式，可编程选择单、双向打印、图形双向打印；</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3、打印头寿命:4亿次/针；</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4、打印速度:汉字：超高速188汉字/秒；高速125字/秒；高密63字/秒；</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5、打印厚度:0.39mm ；复印能力：正本+3份；</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6、打印宽度:单页：55－297mm，连续纸：101.6－254mm；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7、送纸方式:摩擦送纸及链轮送纸；</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8、接口:USB接口；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9、色带:80D-7大色带盒,寿命1000万字符以上；</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10、平均无故障间隔时间:≥12000小时。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手持终端</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1、支持国内运营商的主流通信网络（5G/4G/3G）；内置6G RAM、128G ROM；支持NFC读写；屏幕尺寸5.8英寸；分辨率≥2244x1080像素；触摸屏支持多点触控；电池容量≥3400mAh。手持终端需通过安装粮库APP实现值仓及移动应用功能。</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磅房空调</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1、2匹挂机变频配套安装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自动道闸</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1、道闸类型：栅栏杆（永安）或直杆（永安、建宁）；</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2、道闸杆长：4-6米；</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3、具备自动限位功能，档杆开关到位后，将自动停机限位；</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4、具备热过载保护装置；</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5、输入电源：220V50Hz；</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6、工作电压：90W220VAC；</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7、工作环境温度：-10℃～+55℃；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扦样机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1、主臂升降范围 （沿Z轴）4200-5000mm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2、副臂伸缩范围 （沿X轴）3300-4500mm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3、扦样杆升降范围 （沿Z轴）900-4800mm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4、旋转角度   ±90°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5、旋转电机   380V  50Hz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6、动力单元   380V  50Hz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7、扦样器 220V  50Hz  扦样杆升降驱动为减速电机驱动，8、具备触及车辆底板时，自动反弹上升功能，负压吸程不低于25m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9、其他要求 1、含扦样机整套安装辅材及配电等配件。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空调</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1、2匹挂机变频配套安装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触发雷达</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1.采用24GHz MMIC技术，性能更强；</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2.可稳定检测到行人和车辆，虚警率低；</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3.采用RS485通讯，信号更稳定，通讯距离更长；</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4.能够自动识别背景；</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5.检测性不受光照、灰尘、雨雪等外界环境干扰。</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银行卡读写器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1、银行卡读写（磁条卡、接触式IC卡、非接触式IC卡三合一），支持1、2、3轨的磁条的读功能，拉卡速度：10 ～ 120cm/s，记录格式：兼容IBM、ISO 格式；</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2、具备接触式IC 卡插口，能够读写符合ISO7816 规范的IC卡；</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3、非接触式IC卡工作频率13.56MHz，支持ISO14443TypeA协议，</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4、通讯方式：USB接口，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5、工作温度：-10 ～ 55℃，相对湿度：20% ～ 93%；</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6、支持RS232。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施工辅材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双绞线缆</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1、产品参照标准ULSubject444,ETA/TIA568B.2-1&amp;ISO/IEC11801,IEC61163；</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2、线缆带中心十字隔离骨架，可有效防止因线对之间绞距变化带来的性能下降；</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3、线规：23AWG，线径0.57mm外径6.2mm；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4、支持千兆以太网应用250MHZ带宽</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5、护套采用优良的PVC材料；护套长度为逆序标注以方便识别线缆长度；</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6、为保护人体健康，有害物质六溴环十二烷 HBCDD 含量不大于 0.002%，邻苯二甲酸二辛酯含量不大于 0.005%；</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7、导体材料：无氧圆铜（纯度99.99%）。</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1、RVV2*1.0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1、RVV3*2.5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1、RVV2*2.5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1、PVC20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1、定制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挖沟槽、管道土方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1、基础施工（开槽回填）</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三、智能安防监控系统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网络红外高清球机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1、400万像素7寸混合补光网络高清智能球机；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2、支持深度学习算法，提供精准的人车分类侦测报警，并支持联动可见光闪烁警戒及声音警戒功能；</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3、支持区域入侵侦测、越界侦测、进入区域侦测和离开区域侦等智能侦测并联动跟踪；</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4、支持最大2560*1440@30fps高清画面输出；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▲5、支持超低照度，0.005Lux/F1.5(彩色),0.001Lux/F1.5(黑白) ,0 Lux with IR，</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6、支持不低于23倍光学变倍，16倍数字变倍；</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7、采用可见光补光距离可达30m，低功耗，照射距离最远可达150m；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8、支持最大256G的 Micro SD/Micro SDHC/Micro SDXC卡存储。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高清网络红外枪型摄像机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1、400万像素 1/3"CMOS 筒型网络摄像机；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2、最低照度彩色0.005lx，黑白0.0005lx；</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3、焦距:4mm；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4、补光距离最远可达30m；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5、网络:1个RJ45 10 M/100 M自适应以太网口；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支持越界侦测，区域入侵侦测，进入区域侦测，离开区域侦测，物品拿取侦测，物品遗留侦测，快速移动侦测，人员聚集侦测，停车侦测，徘徊侦测，场景变更侦测，音频侦测，虚焦侦测，可对检测区域内行人进行检测、框选跟踪、抓拍，可筛选和抓拍最佳人脸图片存储及上报中心，抓拍数量及图片大小可设，可上传全景照，</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7、防护等级≥IP66。</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网络红外半球</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▲1、400万星光级1/3" CMOS ICR日夜型半球型网络摄像机，</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2、最低照度:彩色:0.005 Lux @(F1.2，AGC ON),0 Lux with IR；</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3、宽动态:120 dB；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4、调节角度:水平:0°~355°，垂直:0°~75°；</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5、焦距&amp;视场角:4mm,水平视场角:79°,补光距离:最远可达30m；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5、最大图像尺寸:2688 *1520；</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6、防护等级:≥IP66。</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仓内防熏蒸网络球型摄像机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1、400万像素1/1.8＂ progressive scan CMOS；</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2、变焦：支持不低于23倍光学变倍；</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3、最低照度：彩色0.0002Lux @ (F1.5，AGC ON)；黑白：0.0001Lux @(F1.5，AGC ON)；</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4、白光灯功能：支持白光功能，白光灯应具有自动和手动开关功能，白光灯强度可根据变倍倍率自动调整，白光照射距离不低于100米；</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5、网络接口：1个RJ45网口，自适应10M/100M网络数据；</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6、SD卡接口：内置Micro SD卡插槽，支持Micro SD/Micro SDHC/Micro SDXC卡（最大支持512G）；</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7、功能：支持区域入侵、越界入侵、徘徊、物品遗留、物品移除、人员聚集、快速移动、进入区域、离开区域等行为分析功能；人脸检测功能；音频异常侦测功能；</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▲8、防熏蒸要求：摄像机在 PH3 熏蒸环境适应性、外观质量、静电放电抗扰度、射频电磁场辐射抗扰度、电快速瞬变脉冲群抗扰度、浪涌（冲击）抗扰度等项符合 GA/T645-2014《安全防范监控变速球型摄像机》要求，</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b/>
                <w:bCs/>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9、防护等级：≥IP66。</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64路硬盘录像机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1、3U标准机架式16盘位网络硬盘录像机；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2、支持满配8TB硬盘（总容量可达128TB)；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3、接口： 2个HDMI接口、2个VGA接口，2个10M/100M/1000Mbps网口，2个USB2.0接口、2个USB3.0接口；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4、报警IO接口：16路报警输入，9路报警输出；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5、串行接口：配置1路全双工485接口 ，1路标准RS-232接口；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6、输入带宽：320Mbps，输出带宽：256Mbps；</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7、接入能力：支持64路H.264、H.265格式高清码流接入；</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8、解码能力：最大支持12×1080P。</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监控硬盘</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1、单盘容量：≥8TB；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2、硬盘接口：SATA；</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3、转速：≥7200RPM；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4、缓存：≥256MB</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监控系统软件</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实时设备配置、设备管理、视频管理、客流分析、报警管理、远程通信、信息发布及与其他安防平台统一管理的大集成应用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安防箱</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1、304不锈钢材质，厚度不小于1.5mm，500mm*600mm（含空开、插座等）</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二合一防雷器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1、工作电压：220V，最大通流容量：10kA;网络部分：最大持续工作电压：5V、标称放电电流：3kA、最大通流容量：5kA、保护水平：≤25V、响应时间：≤1ns。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光纤收发器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1、电口速率：1个1000Mbps Base-T；</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2、光口速率：1个1000Mbps Base-SC；</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3、光接口类型：SC；</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4、形态：盒式；</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5、传输距离：20km；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6、光纤类型：单模单纤；</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7、波长：1310nm 发送,1550nm 接收；</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8、安装方式：桌面</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接入交换机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1、端口：8个10/100/1000Base-T 电口，2个1GE SFP口，1个RJ45 Console口；</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2、MAC地址表：支持16K MAC地址容量，支持MAC地址自动学习和老化，支持静态MAC，支持基于端口和VLAN的MAC地址学习个数限制；</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3、VLAN特性：支持4K个VLAN，支持基于MAC/协议/IP子网//端口的VLAN。</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六类非屏蔽网线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1、产品参照标准ULSubject444,ETA/TIA568B.2-1&amp;ISO/IEC11801,IEC61163；</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2、线缆带中心十字隔离骨架，可有效防止因线对之间绞距变化带来的性能下降；</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3、线规：23AWG，线径0.57mm外径6.2mm；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4、支持千兆以太网应用250MHZ带宽</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5、护套采用优良的PVC材料；护套长度为逆序标注以方便识别线缆长度；</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6、为保护人体健康，有害物质六溴环十二烷 HBCDD 含量不大于 0.002%，邻苯二甲酸二辛酯含量不大于 0.005%；</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7、导体材料：无氧圆铜（纯度99.99%）。</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13684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1、RVV2*1.0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13685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1、RVV3*1.5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单模铠装光纤</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1、4芯光缆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光纤熔接</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1、PVC20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PVC管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1、PVC25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挖沟槽、管道土方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1、基础施工（开槽回填）</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显示器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1、27英寸 IPS屏 FHD 75Hz TUV认证低蓝光 VGA/DVI/HDMI</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8路硬盘录像机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1、1.5U标准机架式网络硬盘录像机；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2、单盘最大支持8TB；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3、接口：1个HDMI接口、1个VGA接口，2个10M/100M/1000Mbps网口；</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4、报警IO接口：16路报警输入，4路报警输出；</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5、输入带宽：80Mbps；</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6、输出带宽：80Mbps；</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7、接入能力：支持8路H.264、H.265格式高清码流接入；</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8、解码能力：最大支持8×1080P。</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8TB监控硬盘</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1、单盘容量：8TB；</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2、硬盘接口：SATA；</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3、转速：≥7200RPM；</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4、缓存：≥256MB</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32路硬盘录像机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1、3U标准机架式16盘位网络硬盘录像机；</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2、单盘最大支持8TB；</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3、接口： 2个HDMI接口、2个VGA接口，2个10M/100M/1000Mbps网口，2个USB2.0接口、2个USB3.0接口；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4、报警IO接口：支持16路报警输入，9路报警输出；</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5、串行接口：配置1路全双工485接口，1路标准RS-232接口；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6、输入带宽：256Mbps，输出带宽：256Mbps；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7、接入能力：支持32路H.264、H.265格式高清码流接入；</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8、解码能力：最大支持12×1080P。</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机柜</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1、600mm*600mm*1200mm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门卫分控显示器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1、65英寸 4K超高清  2+16GB内存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门卫分控解码器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1、支持9路信号输出, 2路信号输入</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2、预览分割：1/4/6/8/9/16/25/32/36画面；</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3、录像/抓图模式：手动录像/抓图、定时录像/抓图、事件录像/抓图、报警录像/抓图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4、回放模式：即时回放、常规回放、事件回放、分时段回放、图片回放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5、备份模式：常规备份、事件备份、图片备份；</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6、黑白名单：支持最高可达500张黑名单、500张白名单；</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7、最大支持4路图形比对报警、报警可联动上传中心；</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8、支持可插拔硬盘；不少于16G内存；</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9、可接驳符合ONVIF、RTSP标准及众多主流厂商的网络摄像机，支持H.265、H.264编码前端自适应接入；</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10、不少于6路通讯接口（RS232/485），用于现场多设备的信号采集和控制；</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11、支持串行通信设备管理，可添加、删除、编辑串行通信设备管理，包括名称、品牌、型号、厂商、通讯接口（ RS232 、RS422 、RS485等）。支持虚拟串口管理，可添加、删除编辑支持虚拟串口。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12、支持串行通信协议管理（设备、波特率、起始位、数据位、停止位、奇偶校验位）。</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13、支持波特率自动识别，可快捷获取串口波特率情况；</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14、千兆网口，支持IPv4、IPv6 、TCP、UDP；</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15、8bits GPIO(4GPI，4GPO)，可与上位机组态软件、PLC等进行组网,用于现场设备的信号采集和控制；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65寸液晶显示器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1、65英寸 4K超高清， 2+16GB内存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无线网桥</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1、2.4G网桥，802.11n制式，成对包装，距离200米，2网口设计，成对包装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热镀锌管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1、SC20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辅材</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1、定制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四、</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粮情检测系统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1、处理器：≥Intel 酷睿i7；主频2.9GHz，八核心，2GHz及以上独显；</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2、内存：≥16G；</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3、存储：≥1T+256GSSD；</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4、其他：21.5英寸显示屏，出厂预装windows10操作系统，含鼠标和键盘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打印机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1、打印分辨率：≥600×600dpi；黑白打印速度：≥30ppm内存：≥32MB；双面打印：自动;接口类型:USB2.0；耗材类型：鼓粉分离；打印幅面：A4</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粮情分机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1、检测湿度范围：0%Rh-99%Rh；</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2、温度检测误差：≤±0.2℃，温度传感器测量范围：-55℃~+125℃，测量精度≤±0.1℃，重复误差≤±0.2℃；</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3、湿度检测误差：≤±1%RH；</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4、防水等级：</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IP65。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测温电缆7米5点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1、镀锡铜导线截面积0.3MM2，7米5点；</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2、拉力满足 LS/T 1813-2017 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3、测温电缆采用高压聚乙烯护套，传感器、导线完全密封，所用的快速接头均为防熏蒸连接器，在熏蒸时能正常测温；</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4、测温电缆具有防熏蒸腐蚀性；</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5、测温电缆防护等级要求：≥IP66；</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6、测温电缆满足 GB/T 26882.1-2011 防爆性要求；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7、温度检测误差：≤±0.2℃，温度传感器测量范围：-55℃~+125℃，测量精度≤±0.1℃，重复误差≤±0.2℃。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测温电缆6.5米4点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1、镀锡铜导线截面积0.3MM2，6.5米4点；</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2、拉力满足 LS/T 1813-2017 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3、测温电缆采用高压聚乙烯护套，传感器、导线完全密封，所用的快速接头均为防熏蒸连接器，在熏蒸时能正常测温；</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4、测温电缆具有防熏蒸腐蚀性；</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5、测温电缆防护等级要求：≥IP66；</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6、测温电缆满足 GB/T 26882.1-2011 防爆性要求；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7、温度检测误差：≤±0.2℃，温度传感器测量范围：-55℃~+125℃，测量精度≤±0.1℃，重复误差≤±0.2℃。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测温电缆6米4点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1、镀锡铜导线截面积0.3MM2，6米4点；</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2、拉力满足 LS/T 1813-2017 要求；</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3、测温电缆采用高压聚乙烯护套，传感器、导线完全密封，所用的快速接头均为防熏蒸连接器，在熏蒸时能正常测温；</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4、测温电缆具有防熏蒸腐蚀性；</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5、测温电缆防护等级要求：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IP66；</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6、测温电缆满足 GB/T 26882.1-2011 防爆性要求；</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7、温度检测误差：≤±0.2℃，温度传感器测量范围：-55℃~+125℃，测量精度≤±0.1℃，重复误差≤±0.2℃。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测温电缆5米4点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1、镀锡铜导线截面积0.3MM2，5米4点；</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2、拉力满足 LS/T 1813-2017 要求；</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3、测温电缆采用高压聚乙烯护套，传感器、导线完全密封，所用的快速接头均为防熏蒸连接器，在熏蒸时能正常测温；</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4、测温电缆具有防熏蒸腐蚀性；</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5、测温电缆防护等级要求：≥IP66；</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6、测温电缆满足 GB/T 26882.1-2011 防爆性要求；</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7、温度检测误差：≤±0.2℃，温度传感器测量范围：-55℃~+125℃，测量精度≤±0.1℃，重复误差≤±0.2℃。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测温电缆4米3点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1、镀锡铜导线截面积0.3MM2，4米3点；</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2、拉力满足 LS/T 1813-2017 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3、测温电缆采用高压聚乙烯护套，传感器、导线完全密封，所用的快速接头均为防熏蒸连接器，在熏蒸时能正常测温；</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4、测温电缆具有防熏蒸腐蚀性；</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5、测温电缆防护等级要求：≥IP66；</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6、测温电缆满足 GB/T 26882.1-2011 防爆性要求；</w:t>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7、温度检测误差：≤±0.2℃，温度传感器测量范围：-55℃~+125℃，测量精度≤±0.1℃，重复误差≤±0.2℃。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测温电缆3米3点</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1、镀锡铜导线截面积0.3MM2，3米3点位；</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2、拉力满足 LS/T 1813-2017 要求；</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3、测温电缆采用高压聚乙烯护套，传感器、导线完全密封，所用的快速接头均为防熏蒸连接器，在熏蒸时能正常测温；</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4、测温电缆具有防熏蒸腐蚀性；</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5、测温电缆防护等级要求：≥IP66；</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6、测温电缆满足 GB/T 26882.1-2011 防爆性要求；</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7、温度检测误差：≤±0.2℃，温度传感器测量范围：-55℃~+125℃，测量精度≤±0.1℃，重复误差≤±0.2℃。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仓内温湿度传感器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1、采用有线数字式温、湿度一体化探头，防尘、防腐蚀、抗磷化氢（PH3)熏蒸；</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2、温度检测误差：≤±0.2℃，温度传感器测量范围：-55℃~+125℃，测量精度≤±0.5℃，重复误差≤±0.2℃；</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3、湿度检测误差：≤±1%RH；</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仓外温湿度传感器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1、采用有线数字式温、湿度一体化探头，防尘、防腐蚀；</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2、温度检测误差：≤±0.2℃，温度传感器测量范围：-55℃~+125℃，测量精度≤±0.5℃，重复误差≤±0.2℃；</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3、湿度检测误差：≤±1%RH。</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测温电缆互联线及防水插头</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1、T型连接，防腐插头。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仓内通讯线缆</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1、用于连接温湿度传感器至粮情分机模块，RVV4*0.3。</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19630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通讯线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1、用于连接测温电缆至粮情分机模块，RVV5*0.5。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六类非屏蔽网线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1、产品参照标准ULSubject444,ETA/TIA568B.2-1&amp;ISO/IEC11801,IEC61163；</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2、线缆带中心十字隔离骨架，可有效防止因线对之间绞距变化带来的性能下降；</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3、线规：23AWG，线径0.57mm外径6.2mm；</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4、支持千兆以太网应用250MHZ带宽</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5、护套采用优良的PVC材料；护套长度为逆序标注以方便识别线缆长度；</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6、为保护人体健康，有害物质六溴环十二烷 HBCDD 含量不大于 0.002%，邻苯二甲酸二辛酯含量不大于 0.005%；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7、导体材料：无氧圆铜（纯度99.99%）。</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1、用于粮情分机供电，RVV2*1.5。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PVC管PVC25</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1、PVC25</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笔记本电脑</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1、15.6英寸、12代智能英特尔酷睿i7处理器、独立显卡、 16G 1T+256GSSD</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1、定制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五、</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低温储粮系统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仓储专用空调</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1、一体机,SUS304外壳，仓外壁挂式安装；</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2、制冷量≥18.2KW；</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3、循环风量＞4700m³/h，静压≥260Pa；</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4、制冷消耗功率＜5.5KW，制冷能效比＞3.34</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5、粮仓专用空调依据GB/T 4343.2-2009、GB/T 17626.5-2008 规定测试浪涌抗扰度合格；</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6、可抗磷化氢熏蒸，在磷化氢浓度2500ppm下，密闭熏蒸7天，空调无腐蚀，可正常工作；</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机组保护功能要求具有温度传感器开路或短路保护、过流保护、电压过高/过低保护、电源错相、缺项保护、压缩机三分钟延时启动保护、换热器温度过低保护、压力过高保护、压力过低保护功能；具备防浪涌保护功能。</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降温机组强电供电线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1、YJV3*4+2*2.5，引至强电箱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穿线管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1、PVC32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旧空调拆除</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1、外机内机拆除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六、</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环流熏蒸系统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环流风机改造</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（含拆除原风机）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1、功率：≥0.75KW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2、供电：380V交流电；</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3、风压：950Pa；</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4、风量：≥1000m3/h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5、风速不小于 21～32 m/s；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6、材质：压铸铝；</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7、防护等级：电机防护等级≥IP55，防爆可选。</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环流管道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1、￠108*1.5 管道及管件材质：304不锈钢</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环流管道</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1、￠89*1.5管道及管件材质：304不锈钢</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环流熏蒸电控装置</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1、箱体材质：304不锈钢 微电脑实控开关 过热过流保护</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气体取样装置</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1、取样装置包括取样端头、取样管、检测箱、取样阀门等。</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2、气体取样装置管道和取样箱以及取样阀门采用304不锈钢材质；</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3、取样管:食品级Ø6×4PVC软管；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4、取样阀:专用取样针阀；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5、取样堵头:40微孔专用堵头；</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磷化氢气体检测仪</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1、测量范围：0～2000ppm，泵吸式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新型不锈钢连体保温通风口</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1、采用SU304不锈钢板材制造800×800×780，材料厚度2.0mm, 外方口内保温隔热材料用聚氨酯材料一次成型，防火等级B级。采用两道密封专用密封橡皮，有效的解决了漏气问题。SU304不锈钢专用合页，快速不锈钢锁。通风口内圆有圆形不锈钢保温密封盖板，保温材料用聚氨酯材料一次成型，防火等级B级。用四个不锈钢专用手轮固定。</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防爆混流风机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1、通风口内配备专用混流风机、功率2.2KW。混流风机叶片材料采用铝合金高强度叶片，电动机采用防爆型。达到吸吹两用效果。</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拆除旧通风口</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1、拆除旧通风口</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七、</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虫气检测系统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二氧化碳传感器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1.检测范围：0～50000ppm；</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2.误差:≤±5%FS；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3.重复性≤2.0%；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4.响应时间：≤60s。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氧气传感器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1.检测范围：0～30%；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2.误差：≤±3%FS；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3.重复性：≤1.0%；</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4.响应时间：≤60s。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磷化氢传感器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1.检测范围：0～1000ppm，0～2000ppm可选；</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2.误差：≤±5%FS；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3.重复性：≤0.5%；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4.响应时间：≤20s。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通道选通器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1、安装台控制柜里，不锈钢电动球阀选通，最大可控制19路管路，装置在阀门关闭状态下，气密检测正压500pa的压力半衰期不小于170S。</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主控模块</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1、含主控电路板、电源模块。</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虫害及气体检测模块</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1、含技术检测电路、气泵气路、集虫装置。</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害虫诱捕器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1、ABS材质，Φ2.5斜孔；2、每个廒间可根据厫间尺寸布放9-15个诱捕器。</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取样检测导管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1、Φ8*5 PU管，防水型。</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虫害及气体检测护管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1、材质规格：不锈钢管，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虫害及气体检测过墙装置</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1、不锈钢材质、含16路气体快接插头，便于后期测量管路的能换，防腐蚀、防止气体泄漏。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1、定制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六、智能通风系统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通风窗</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含传动、连接五金件，1200mm*900mm，面板为夹芯彩钢板，厚度不小于0.6mm，中间夹层为50mm厚阻燃型聚苯乙烯板（导热系数不大于0.041W/m.k，粘接强度大于0.1Pa）热阻要求：R≥0.9㎡K/W，耐火等级≥B1，聚苯乙烯融熔12g以上。</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通风窗</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含传动、连接五金件，800mm*800mm，面板为夹芯彩钢板，厚度不小于0.6mm，中间夹层为50mm厚阻燃型聚苯乙烯板（导热系数不大于0.041W/m.k，粘接强度大于0.1Pa）热阻要求：R≥0.9㎡K/W，耐火等级≥B1，聚苯乙烯融熔12g以上。</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拆除旧通风窗</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1、旧窗拆除以及新窗安装，登高作业</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通风窗改造</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含传动、连接五金件，1150*1150*50mm，面板为夹芯彩钢板，厚度不小于0.6mm，中间夹层为50mm厚阻燃型聚苯乙烯板（导热系数不大于0.041W/m.k，粘接强度大于0.1Pa）热阻要求：R≥0.9㎡K/W，耐火等级≥B1，聚苯乙烯融熔12g以上。</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通风窗改造</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含传动、连接五金件，750*750*50mm，面板为夹芯彩钢板，厚度不小于0.6mm，中间夹层为50mm厚阻燃型聚苯乙烯板（导热系数不大于0.041W/m.k，粘接强度大于0.1Pa）热阻要求：R≥0.9㎡K/W，耐火等级≥B1，聚苯乙烯融熔13g以上。</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轴流风机改造</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1、功率：≥1.1KW；</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2、转速：≥1440r/min；</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3、风量：≥11682m³/h；</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4、防爆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通风窗自动执行机构</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1、具备“手自一体化”功能；</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2、通风窗开启角度≥90度；</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3、通风窗自动开启或关闭时间≤30s；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4、推杆推力：不低于4000N。</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通风口自动执行机构</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1、具备“手自一体化”功能；</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2、通风口开启角度≥90度；</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3、通风窗自动开启或关闭时间≤30s；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4、推杆推力：不低于4000N。</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气象站</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1、测试种类：温度、湿度、气压、风速、风向、雨水、雨量；</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2、接口：RS485/RS232；</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3、通信协议：标准的Modbus协议；</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4、测量范围：</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温度：测量量程：-40~80℃；分辨率：0.1℃；精度：±0.3℃（0~65℃）；</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湿度：测量量程：0~100%RH；分辨率0.1%RH；精度：±3%RH；</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气压：测量量程：300-1200hPa；分辨率：1Pa；精度：±1.5hPa；</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风向：测量量程：0-360°；分辨率：1°；动态响应时间：≤0.3s；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风速：测量量程：0-70m/s；分辨率：0.1m/s；精度：±0.3m/s；动态响应时间：≤0.4s</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雨量：雨量筒直径：φ200mm；分辨率：0.2mm；工作湿度：＜95%（40℃），雨强范围：0~4mm/min，最大允许通过雨强8mm/min</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5、含气象站立杆、数据采集模块、防雷模块、防水箱、气象站基础。</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串口通讯服务器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1、RS485/RS232转以太网接口。</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执行机构信号线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1、RVVP6*1，具体数量以实际数量为准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PVC管</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1、PVC32</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米</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辅材</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1、定制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批</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七、综合控制系统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综合控制柜</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1、采用ARM或PLC主控制器，采用TCP/IP通信协议；</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2、能够集成自然通风窗、轴流风机窗、轴流风机、环流风机、粮情、智能电表等；</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3、功能：可实现智能通风、粮情检测、能耗监测；</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4、柜体采用双层门设计，尺寸定制，柜体材质采用≥1.5mm厚304不锈钢板，带防雨檐及散热通风口。控制系统电源适用性：AC220V±10% 50HZ±10%；系统绝缘电阻：主控机电源端与地之间绝缘电阻≥500M欧姆；具备良好的接地、防雷、防浪涌功能,各电机动力电路中必须具备热过载保护功能；箱体下口容量预留不小于30%，保障系统正常运行，不超负荷；控制系统耐压试验：主控机电源端与地之间能承受1500V、50Hz历时1min的耐压试验，无击穿或闪络现象。</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5、配备不小于10寸工业级触摸屏，可现场操作相应功能，并查看数据。</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6、配置8口千兆网络交换机，含千兆光模块。</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7、静电放电抗扰度：满足GB/T17626.2-2018 规定的试验方法:试验等级 4级，控制柜工作正常。</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8、电快速瞬变脉冲群抗扰度：满足GB/T17626.4-2018规定的试验方法:试验等级4 级，控制柜工作正常。</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9、浪涌(冲击)抗扰度：满足GB/T17626.5-2019规定的试验方法:试验等级4级，控制柜工作正常，</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10、射频电磁场辐射抗扰度：满足GB/T17626.3-2016规定的试验方法:试验等级4级，控制柜工作正常。</w:t>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11、工作温度：：-40℃~ 80℃。</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控制柜基础</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1、混泥土基础。</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电源线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1、ZRYJV3*16+2*10,具体数量以实际数量为准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八、仓房能耗系统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智能电表与互感线圈</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1、三相四线电子式电能表，有功精度1.0级，无功精度1.0级，符合《多功能电能表通信规约》（DL/T 645-2007）；具有数据远传功能，符合 RS-485标准串行电气接口，采用 MODBUS 标准开放协议；具有监测和计量三相电流、电压、有功功率、功率因数、有功电能等功能。</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908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九、中心机房设备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核心交换机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1、交换容量2.4Tbps，包转发率513Mpps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2、接口配置要求：24个10/100/1000M电口 ，24个 1G SFP 光口，4 个1/10G SFP+光口，2个扩展插槽，可支持40G端口；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3、MAC地址144K，路由表48K；</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4、支持IPv6静态路由，OSPF V3，RIPng，ICMPv6，NDP，PMTU； 支持VRF功能；</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5、可靠性：实配双电源；支持M-LAG技术，将多台物理机箱组成 1 台虚拟交换机；支持VARP；</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6、Vxlan：支持VxLAN二层/三层网关，支持VXLAN tunnel，支持VXLAN 路由。</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接入交换机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1、交换容量336Gbps，包转发率126Mpps；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2、接口配置要求：24个10/100/1000 RJ45 电口，4个1G SFP端口；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3、二层功能：最大MAC地址16K，支持4K VLAN，支持STP/RSTP/MSTP，支持本地镜像及远程镜像；</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4、三层功能：支持静态路由，策略路由，VRF，RIPng，OSPFv3，ICMPv6，NDP，ICMPv6等，</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5、组播协议：支持IGMPv1/v2/v3，IGMP Proxy，Fast leave，Layer 2 Static Multicast等；</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6、可靠性：支持M-LAG技术，实现多台设备间的链路聚合。</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千兆防火墙</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1、1U，4个千兆电口；</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2、防火墙吞吐2G，并发连接80万，每秒新建连接1.5万，IPSEC VPN吞吐100M，SSL VPN吞吐100M，</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（提供</w:t>
            </w:r>
            <w:r>
              <w:rPr>
                <w:rFonts w:hint="eastAsia"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投标截止时间前生效的</w:t>
            </w:r>
            <w:r>
              <w:rPr>
                <w:rFonts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第三方权威检测机构出具的有效检验报告复</w:t>
            </w:r>
            <w:r>
              <w:rPr>
                <w:rFonts w:hint="default" w:ascii="䅂䍄䕅⯋컌" w:hAnsi="䅂䍄䕅⯋컌" w:eastAsia="䅂䍄䕅⯋컌" w:cs="䅂䍄䕅⯋컌"/>
                <w:b/>
                <w:bCs/>
                <w:color w:val="000000" w:themeColor="text1"/>
                <w:kern w:val="0"/>
                <w:sz w:val="24"/>
                <w:szCs w:val="24"/>
                <w:highlight w:val="none"/>
                <w:u w:color="000000"/>
                <w:lang w:val="en-US" w:eastAsia="zh-CN" w:bidi="ar"/>
                <w14:textFill>
                  <w14:solidFill>
                    <w14:schemeClr w14:val="tx1"/>
                  </w14:solidFill>
                </w14:textFill>
              </w:rPr>
              <w:t>印件并加盖投标人公章做为依据，原件备查）</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3、默认含IPSEC VPN模块，可扩展SSL VPN模块；</w:t>
            </w:r>
          </w:p>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4、支持扩展AI应用识别、IPS入侵防御及AV防病毒功能。</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数据安全网关</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1、高度1U,固定业务接口，4个千兆电口；可拓展2电、2电2光、4电,管理接口 1*10/100/1000Base-T</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2、支持DPI（深层包检测）技术</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3、支持DFI（深层流检测）技术</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4、支持MPLS、802.1Q、PPPoE多种封装协议内应用识别</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5、支持MAC地址自动学习</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6、支持基于IPv4/ IPv6环境的多层嵌套共享池流量控制技术</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7、支持弹性/动态带宽分配</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8、带宽控制最小粒度≤1Kbps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9、支持虚拟桥组模式,支持基于TOS/DSCP的应用分流路由,支持多链路捆绑和非对称路由环境</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10、支持PPS功能，可在双机热备环境部署,支持内置硬盘存储日志和历史报表数据,支持MPLS、802.1Q、PPPoE多种封装协议内应用识别</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11、支持全网加速、国际链路加速、定向加速服务，提供加速流量统计。</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应用服务器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1、国产品牌，2U单路标准机架式服务器；</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2、CPU：2颗Intel_4210_Xeon_2.2GHz_10C；</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3、内存：≥64G DDR4，16根内存插槽，最大支持扩展至2TB内存；</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4、硬盘存储：3块600G 10K 2.5英寸SAS盘；支持12块3.5寸(兼容2.5寸)热插拔SAS/SATA硬盘；支持2块后置2.5寸热插拔SAS/SATA硬盘；</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5、RAID：支持RAID0/1/10；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6、PCIe扩展插槽：最大可支持6个PCIe扩展插槽；</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7、接口：2个千兆电口；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8、电源：550W(1+1)电源。</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机柜</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1、尺寸：2000（高）*600（宽）*800（深）mm，含16A 8位PDU。</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UPS（6KVA）</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1、6kVA/5.4kW (220V输入220V输出），含16块12V18AH电池，满载可延时1小时。</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微型断路器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 瞬时脱扣特性：C型，5-10倍额定电流；</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 极数：4P；</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 额定电压：AC400V；. 额定电流：63A；</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 支持实时监测线路电流、电压、温度、功率、电量等数据；</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 支持过温保护；支持过流保护；支持短路保护；</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 当手动分闸后，本地锁定功能启动，此时设备不能远程合闸。</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 当本地锁定功能不启动时，在手机APP和PC端平台，可以远程控制分闸或合闸。</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 通过调节自动/手动/锁定开关，可切换自动模式、手动模式和锁定模式。自动模式，可实现远程监控和远程、本地控制；手动模式，可远程监控但关闭远程控制功能，可本地控制；锁定模式，可将断路器锁定在分闸位置，也可锁定在合闸位置，锁定模式下远程、本地控制失效，远程监控正常。</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 安装方式：标准导轨TH35-7.5，垂直安装；</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 RS-485接口≥1个；</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空开网关</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 支持4G全网通，支持SIM卡和物联网卡，有线网络通讯方式</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 2个RS485接口，1个4G接口，1个RJ45，1路报警输入,1路报警输出，1个DC12V接口；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 设备应支持通过LAN、4G方式同时发送预警/报警、实时监测数据、设备状态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 设备应支持60个智能空开接入；</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 可采集、监控被测的每一条用电回路的电流、电压、漏电流、功率、电量、温度等数据；</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 支持5000条离线数据存储 ；</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 可设置电流上限预警阈值和报警阈值。</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 可设置泄漏电流上限预警阈值和报警阈值。</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 可设置功率上限预警阈值和报警阈值。</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 可设置温度上限预警阈值和报警阈值。</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 应能满足GB10963.1-2005中9.14、9.15、9.16关于材料的要求，外壳材料采用阻燃材料，满足UL94-V0要求</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机房空调</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1、2匹挂机变频配套安装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烟感报警器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1、机房烟雾报警。</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个</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12</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气体灭火设备</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1、用于气体灭火。</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13</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机房静电地板</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1、600*600*40mm</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83.67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14</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笔记电脑</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1、15.6英寸、12代智能英特尔酷睿i7处理器、独立显卡、 16G 1T+256GSSD</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15</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解码器（台江库区）</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1、原9块拼接屏解码器更换，兼容原拼接屏</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16</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解码器</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1、支持接入的视频编码格式设置为H.264、H.265的IPC视频解码输出；</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2、支持ONVIF、GB28181等标准协议规定的网络视频流解码；</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3、单台设备具有4个DVI/HDMI输出接口,整体输出不少于12路接口；</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4、支持1x2、2x2、2x3、2x4、2x5、3x3、3x4、多画面拼接输出显示；</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5、支持分辨率：3840×2160@30/25fps；2560×1600@30/25fps；2048×1536@30/25fps；1600×1200@30/25fps ；1920×1080@60/50/30/25fps；1280×720@60/50/30/25fps；704×576@60/50/30/25fps；352×288@60/50/30/25fps。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6、整机解码能力不少于96路1080P@30；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7、支持拼接、开窗、叠加、漫游、跨屏等功能；</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8、可提供SDK供第三方平台集成；</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9、支持WEB方式或平台访问、配置和管理。</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17</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液晶拼接屏</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1、LCD液晶显示单元；含配套安装支架、高清线等辅材。</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2、尺寸：55英寸；</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3、分辨率：≥1920 × 1080@60 Hz（向下兼容）；</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4、视角：178°(水平)/ 178°(垂直)；</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5、响应时间：8ms(G to G)；</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6、对比度：1200:1；</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7、亮度：500cd/㎡；</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8、物理拼缝：0.88mm；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9、输入接口：HDMI × 1, DVI × 1, VGA × 1, CVBS × 1, USB × 1；</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10、输出接口：HDMI × 1, VGA × 1, CVBS × 1；</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11、控制接口：RS232 IN × 1，RS232 OUT × 1；</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12、可定制接口 3G SDI(输入×1、输出×1)、DP、TVI(输入×1、输出×1)、网络源；</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13、功耗：≤ 192 W；</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14、电源要求：100～240 VAC, 50/60 Hz；</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15、寿命：≥60000 小时；</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16、工作温度和湿度：0℃～40℃</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10%～90% RH（无冷凝水）；</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17、外形尺寸：1210.81 (W) mm × 681.76 (H) mm × 68.9 (D) mm；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18、毛重（含包装和配件盒）：69.92 ± 0.5 kg（双包）</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39.74 ± 0.5 kg（单包）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18</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多功能液晶控制终端</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1.CPU：400MHz 32位双核高速处理器；</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2.操作系统：FreeRTOS</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3.通讯接插件：2EDG3.8-4P</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4.升级：支持U盘SD卡升级、支持远程升级</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5.显示器类型：LED液晶屏；</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6.亮度：250cd/m²；对比度：800:1</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7.触控类型：电容触控</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8.触控显示尺寸：70.8mm×70.8mm；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9.控制板尺寸：90mm×90 mm</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10.功耗：工作1.8W、休眠0.3W</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11.供电压：DC12-18V（±0.2V）</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12.工作温度：-20℃～+75℃</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13.电子锁功能：多功能液晶控制终端有自动上锁功能（重要设备避免误操作）；一定时间内自动上锁，上锁后重要专业设备开启或者关闭控制无效，解锁后可以控制重要专业设备开启或者关闭；</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14.进入系统时间：上电3秒内进入控制系统，可立即控制设备；。</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15.电源管控：弱电远程控制（可控制动力380V/220V设备 ）使用简单方便快捷安全,无危险性。</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16.视频管控：直播系统及服务器和影视播放器等电脑视频简单快捷投放到大屏幕。</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17.音频模式管控：调用音频主机预设调试后5个音效模式。</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18.音量管控：16通道音量独立控制+12dB/-70dB及16通道独立静音控制，16通道总静音，总静音和16个通道音量+12/-70dB值实时反馈到音频设备；。</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19.设备运行信息反馈：设备运行工作情况实时反馈到多功能液晶屏控制终端，可查看运行情况。</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20.包含PC软件编辑控制界面2套以上，根据现场要求控键功能定制编辑。</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套</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19</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操作电脑</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1、处理器：≥Intel 酷睿i7；主频2.9GHz，八核心，2GHz及以上独显；</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2、内存：≥16G；</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3、存储：≥1T+256GSSD；</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br w:type="textWrapping"/>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4、其他：21.5英寸显示屏，出厂预装windows10操作系统，含鼠标和键盘</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598"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color="000000"/>
                <w:lang w:val="en-US" w:eastAsia="zh-CN" w:bidi="ar"/>
                <w14:textFill>
                  <w14:solidFill>
                    <w14:schemeClr w14:val="tx1"/>
                  </w14:solidFill>
                </w14:textFill>
              </w:rPr>
              <w:t>20</w:t>
            </w:r>
          </w:p>
        </w:tc>
        <w:tc>
          <w:tcPr>
            <w:tcW w:w="2290" w:type="dxa"/>
            <w:gridSpan w:val="2"/>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会议室空调</w:t>
            </w:r>
          </w:p>
        </w:tc>
        <w:tc>
          <w:tcPr>
            <w:tcW w:w="4155"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1、5匹柜机变频配套安装</w:t>
            </w:r>
          </w:p>
        </w:tc>
        <w:tc>
          <w:tcPr>
            <w:tcW w:w="1050" w:type="dxa"/>
            <w:tcBorders>
              <w:top w:val="single" w:color="000000" w:sz="4" w:space="0"/>
              <w:left w:val="single" w:color="auto" w:sz="4" w:space="0"/>
              <w:bottom w:val="single" w:color="000000" w:sz="4" w:space="0"/>
              <w:right w:val="single" w:color="auto"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台</w:t>
            </w:r>
          </w:p>
        </w:tc>
        <w:tc>
          <w:tcPr>
            <w:tcW w:w="98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4"/>
                <w:szCs w:val="24"/>
                <w:highlight w:val="none"/>
                <w:u w:val="none"/>
                <w:lang w:val="en-US" w:eastAsia="zh-CN"/>
                <w14:textFill>
                  <w14:solidFill>
                    <w14:schemeClr w14:val="tx1"/>
                  </w14:solidFill>
                </w14:textFill>
              </w:rPr>
              <w:t>1</w:t>
            </w:r>
          </w:p>
        </w:tc>
      </w:tr>
    </w:tbl>
    <w:p>
      <w:pPr>
        <w:keepNext w:val="0"/>
        <w:keepLines w:val="0"/>
        <w:widowControl/>
        <w:suppressLineNumbers w:val="0"/>
        <w:spacing w:line="360" w:lineRule="auto"/>
        <w:ind w:left="0" w:leftChars="0" w:firstLine="0" w:firstLineChars="0"/>
        <w:jc w:val="left"/>
        <w:textAlignment w:val="cente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注：1、以上技术参数中的尺寸、重量等在不影响技术指标情况下允许正负偏离2%（技术指标中有具体正负偏离范围值的以技术指标的为准）。</w:t>
      </w:r>
    </w:p>
    <w:p>
      <w:pPr>
        <w:pStyle w:val="4"/>
        <w:rPr>
          <w:rFonts w:hint="default"/>
          <w:color w:val="000000" w:themeColor="text1"/>
          <w:highlight w:val="none"/>
          <w:lang w:val="en-US"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2、本项目核心产品为“仓内防熏蒸网络球型摄像机”、“应用服务器”。</w:t>
      </w:r>
    </w:p>
    <w:p>
      <w:pPr>
        <w:pStyle w:val="14"/>
        <w:spacing w:line="360" w:lineRule="auto"/>
        <w:ind w:right="105"/>
        <w:jc w:val="both"/>
        <w:rPr>
          <w:rFonts w:hint="eastAsia" w:ascii="宋体" w:hAnsi="宋体" w:eastAsia="宋体" w:cs="宋体"/>
          <w:b w:val="0"/>
          <w:bCs w:val="0"/>
          <w:color w:val="000000" w:themeColor="text1"/>
          <w:sz w:val="24"/>
          <w:highlight w:val="none"/>
          <w:lang w:eastAsia="zh-CN"/>
          <w14:textFill>
            <w14:solidFill>
              <w14:schemeClr w14:val="tx1"/>
            </w14:solidFill>
          </w14:textFill>
        </w:rPr>
      </w:pP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lang w:eastAsia="zh-CN"/>
          <w14:textFill>
            <w14:solidFill>
              <w14:schemeClr w14:val="tx1"/>
            </w14:solidFill>
          </w14:textFill>
        </w:rPr>
        <w:t>其他要求：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2" w:firstLineChars="200"/>
        <w:jc w:val="both"/>
        <w:textAlignment w:val="auto"/>
        <w:outlineLvl w:val="9"/>
        <w:rPr>
          <w:rFonts w:hint="eastAsia" w:ascii="宋体" w:hAnsi="宋体" w:eastAsia="宋体" w:cs="宋体"/>
          <w:b/>
          <w:bCs/>
          <w:color w:val="000000" w:themeColor="text1"/>
          <w:sz w:val="28"/>
          <w:szCs w:val="28"/>
          <w:highlight w:val="none"/>
          <w:u w:val="none" w:color="auto"/>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1）按照国家粮食和物资储备局印发的《粮食购销领域监管信息化规范》（国粮规〔2022〕78号）要求及国家相关标准，本项目采购的入库系统、安防监控系统、智能仓储等系统</w:t>
      </w:r>
      <w:r>
        <w:rPr>
          <w:rFonts w:hint="eastAsia" w:ascii="宋体" w:hAnsi="宋体" w:eastAsia="宋体" w:cs="宋体"/>
          <w:b/>
          <w:bCs/>
          <w:i w:val="0"/>
          <w:iCs w:val="0"/>
          <w:strike w:val="0"/>
          <w:dstrike w:val="0"/>
          <w:color w:val="000000" w:themeColor="text1"/>
          <w:sz w:val="24"/>
          <w:szCs w:val="24"/>
          <w:highlight w:val="none"/>
          <w:u w:val="none"/>
          <w:lang w:val="en-US" w:eastAsia="zh-CN"/>
          <w14:textFill>
            <w14:solidFill>
              <w14:schemeClr w14:val="tx1"/>
            </w14:solidFill>
          </w14:textFill>
        </w:rPr>
        <w:t>硬件</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设备须与省级平台系统适配对接，各中心粮库、分库、代储点与省管理系统通过互联网方式的互联互通，并入省级平台实现“一张网”。中标人提供的硬件设备应满足</w:t>
      </w:r>
      <w:r>
        <w:rPr>
          <w:rFonts w:hint="eastAsia" w:ascii="宋体" w:hAnsi="宋体" w:eastAsia="宋体" w:cs="宋体"/>
          <w:b/>
          <w:bCs/>
          <w:i w:val="0"/>
          <w:iCs w:val="0"/>
          <w:strike w:val="0"/>
          <w:dstrike w:val="0"/>
          <w:color w:val="000000" w:themeColor="text1"/>
          <w:sz w:val="24"/>
          <w:szCs w:val="24"/>
          <w:highlight w:val="none"/>
          <w:u w:val="none"/>
          <w:lang w:val="en-US" w:eastAsia="zh-CN"/>
          <w14:textFill>
            <w14:solidFill>
              <w14:schemeClr w14:val="tx1"/>
            </w14:solidFill>
          </w14:textFill>
        </w:rPr>
        <w:t>《粮库信息系统硬件设备适配要求》</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（详见附件1）</w:t>
      </w:r>
      <w:r>
        <w:rPr>
          <w:rFonts w:hint="default" w:ascii="宋体" w:hAnsi="宋体" w:eastAsia="宋体" w:cs="宋体"/>
          <w:b/>
          <w:bCs/>
          <w:i w:val="0"/>
          <w:iCs w:val="0"/>
          <w:color w:val="000000" w:themeColor="text1"/>
          <w:sz w:val="24"/>
          <w:szCs w:val="24"/>
          <w:highlight w:val="none"/>
          <w:u w:val="none"/>
          <w:lang w:eastAsia="zh-CN"/>
          <w14:textFill>
            <w14:solidFill>
              <w14:schemeClr w14:val="tx1"/>
            </w14:solidFill>
          </w14:textFill>
        </w:rPr>
        <w:t>、</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《粮库信息系统对接协议》（详见附件</w:t>
      </w:r>
      <w:r>
        <w:rPr>
          <w:rFonts w:hint="default" w:ascii="宋体" w:hAnsi="宋体" w:eastAsia="宋体" w:cs="宋体"/>
          <w:b/>
          <w:bCs/>
          <w:i w:val="0"/>
          <w:iCs w:val="0"/>
          <w:color w:val="000000" w:themeColor="text1"/>
          <w:sz w:val="24"/>
          <w:szCs w:val="24"/>
          <w:highlight w:val="none"/>
          <w:u w:val="none"/>
          <w:lang w:eastAsia="zh-CN"/>
          <w14:textFill>
            <w14:solidFill>
              <w14:schemeClr w14:val="tx1"/>
            </w14:solidFill>
          </w14:textFill>
        </w:rPr>
        <w:t>2</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）要求，确保粮库硬件设备和全省统一粮库信息系统顺利对接，如无法实现与全省统一粮库信息系统适配，中标人需无条件进行相关设备升级、更换工作。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2" w:firstLineChars="200"/>
        <w:jc w:val="both"/>
        <w:textAlignment w:val="auto"/>
        <w:outlineLvl w:val="9"/>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（2）中标人提供的硬件设备若不在省发布的适配清</w:t>
      </w:r>
      <w:r>
        <w:rPr>
          <w:rFonts w:hint="eastAsia" w:ascii="宋体" w:hAnsi="宋体" w:eastAsia="宋体" w:cs="宋体"/>
          <w:b/>
          <w:bCs/>
          <w:i w:val="0"/>
          <w:iCs w:val="0"/>
          <w:color w:val="000000" w:themeColor="text1"/>
          <w:sz w:val="24"/>
          <w:szCs w:val="24"/>
          <w:highlight w:val="none"/>
          <w:u w:val="none" w:color="auto"/>
          <w:lang w:val="en-US" w:eastAsia="zh-CN"/>
          <w14:textFill>
            <w14:solidFill>
              <w14:schemeClr w14:val="tx1"/>
            </w14:solidFill>
          </w14:textFill>
        </w:rPr>
        <w:t>单中（适配清单详见附件</w:t>
      </w:r>
      <w:r>
        <w:rPr>
          <w:rFonts w:hint="default" w:ascii="宋体" w:hAnsi="宋体" w:eastAsia="宋体" w:cs="宋体"/>
          <w:b/>
          <w:bCs/>
          <w:i w:val="0"/>
          <w:iCs w:val="0"/>
          <w:color w:val="000000" w:themeColor="text1"/>
          <w:sz w:val="24"/>
          <w:szCs w:val="24"/>
          <w:highlight w:val="none"/>
          <w:u w:val="none" w:color="auto"/>
          <w:lang w:eastAsia="zh-CN"/>
          <w14:textFill>
            <w14:solidFill>
              <w14:schemeClr w14:val="tx1"/>
            </w14:solidFill>
          </w14:textFill>
        </w:rPr>
        <w:t>3</w:t>
      </w:r>
      <w:r>
        <w:rPr>
          <w:rFonts w:hint="eastAsia" w:ascii="宋体" w:hAnsi="宋体" w:eastAsia="宋体" w:cs="宋体"/>
          <w:b/>
          <w:bCs/>
          <w:i w:val="0"/>
          <w:iCs w:val="0"/>
          <w:color w:val="000000" w:themeColor="text1"/>
          <w:sz w:val="24"/>
          <w:szCs w:val="24"/>
          <w:highlight w:val="none"/>
          <w:u w:val="none" w:color="auto"/>
          <w:lang w:val="en-US" w:eastAsia="zh-CN"/>
          <w14:textFill>
            <w14:solidFill>
              <w14:schemeClr w14:val="tx1"/>
            </w14:solidFill>
          </w14:textFill>
        </w:rPr>
        <w:t>，和后期省上陆续发布的适配清单），</w:t>
      </w:r>
      <w:r>
        <w:rPr>
          <w:rFonts w:hint="default" w:ascii="宋体" w:hAnsi="宋体" w:eastAsia="宋体" w:cs="宋体"/>
          <w:b/>
          <w:bCs/>
          <w:i w:val="0"/>
          <w:iCs w:val="0"/>
          <w:color w:val="000000" w:themeColor="text1"/>
          <w:sz w:val="24"/>
          <w:szCs w:val="24"/>
          <w:highlight w:val="none"/>
          <w:u w:val="none" w:color="auto"/>
          <w:lang w:eastAsia="zh-CN"/>
          <w14:textFill>
            <w14:solidFill>
              <w14:schemeClr w14:val="tx1"/>
            </w14:solidFill>
          </w14:textFill>
        </w:rPr>
        <w:t>中标后，中标人</w:t>
      </w:r>
      <w:r>
        <w:rPr>
          <w:rFonts w:hint="eastAsia" w:ascii="宋体" w:hAnsi="宋体" w:eastAsia="宋体" w:cs="宋体"/>
          <w:b/>
          <w:bCs/>
          <w:i w:val="0"/>
          <w:iCs w:val="0"/>
          <w:color w:val="000000" w:themeColor="text1"/>
          <w:sz w:val="24"/>
          <w:szCs w:val="24"/>
          <w:highlight w:val="none"/>
          <w:u w:val="none" w:color="auto"/>
          <w:lang w:val="en-US" w:eastAsia="zh-CN"/>
          <w14:textFill>
            <w14:solidFill>
              <w14:schemeClr w14:val="tx1"/>
            </w14:solidFill>
          </w14:textFill>
        </w:rPr>
        <w:t>须</w:t>
      </w:r>
      <w:r>
        <w:rPr>
          <w:rFonts w:hint="default" w:ascii="宋体" w:hAnsi="宋体" w:eastAsia="宋体" w:cs="宋体"/>
          <w:b/>
          <w:bCs/>
          <w:i w:val="0"/>
          <w:iCs w:val="0"/>
          <w:color w:val="000000" w:themeColor="text1"/>
          <w:sz w:val="24"/>
          <w:szCs w:val="24"/>
          <w:highlight w:val="none"/>
          <w:u w:val="none" w:color="auto"/>
          <w:lang w:eastAsia="zh-CN"/>
          <w14:textFill>
            <w14:solidFill>
              <w14:schemeClr w14:val="tx1"/>
            </w14:solidFill>
          </w14:textFill>
        </w:rPr>
        <w:t>即时将中标设备送省大数据公司委托的第三方测试公司进行适配检测</w:t>
      </w:r>
      <w:r>
        <w:rPr>
          <w:rFonts w:hint="eastAsia" w:ascii="宋体" w:hAnsi="宋体" w:eastAsia="宋体" w:cs="宋体"/>
          <w:b/>
          <w:bCs/>
          <w:i w:val="0"/>
          <w:iCs w:val="0"/>
          <w:color w:val="000000" w:themeColor="text1"/>
          <w:sz w:val="24"/>
          <w:szCs w:val="24"/>
          <w:highlight w:val="none"/>
          <w:u w:val="none" w:color="auto"/>
          <w:lang w:eastAsia="zh-CN"/>
          <w14:textFill>
            <w14:solidFill>
              <w14:schemeClr w14:val="tx1"/>
            </w14:solidFill>
          </w14:textFill>
        </w:rPr>
        <w:t>，需要适配的设备详见附件</w:t>
      </w:r>
      <w:r>
        <w:rPr>
          <w:rFonts w:hint="eastAsia" w:ascii="宋体" w:hAnsi="宋体" w:eastAsia="宋体" w:cs="宋体"/>
          <w:b/>
          <w:bCs/>
          <w:i w:val="0"/>
          <w:iCs w:val="0"/>
          <w:color w:val="000000" w:themeColor="text1"/>
          <w:sz w:val="24"/>
          <w:szCs w:val="24"/>
          <w:highlight w:val="none"/>
          <w:u w:val="none" w:color="auto"/>
          <w:lang w:val="en-US" w:eastAsia="zh-CN"/>
          <w14:textFill>
            <w14:solidFill>
              <w14:schemeClr w14:val="tx1"/>
            </w14:solidFill>
          </w14:textFill>
        </w:rPr>
        <w:t>4（</w:t>
      </w:r>
      <w:r>
        <w:rPr>
          <w:rFonts w:hint="eastAsia" w:ascii="宋体" w:hAnsi="宋体" w:eastAsia="宋体" w:cs="宋体"/>
          <w:b/>
          <w:bCs/>
          <w:i w:val="0"/>
          <w:iCs w:val="0"/>
          <w:color w:val="000000" w:themeColor="text1"/>
          <w:sz w:val="24"/>
          <w:szCs w:val="24"/>
          <w:highlight w:val="none"/>
          <w:u w:val="none" w:color="auto"/>
          <w:lang w:eastAsia="zh-CN"/>
          <w14:textFill>
            <w14:solidFill>
              <w14:schemeClr w14:val="tx1"/>
            </w14:solidFill>
          </w14:textFill>
        </w:rPr>
        <w:t>若省上有调整，以省上的通知为准</w:t>
      </w:r>
      <w:r>
        <w:rPr>
          <w:rFonts w:hint="eastAsia" w:ascii="宋体" w:hAnsi="宋体" w:eastAsia="宋体" w:cs="宋体"/>
          <w:b/>
          <w:bCs/>
          <w:i w:val="0"/>
          <w:iCs w:val="0"/>
          <w:color w:val="000000" w:themeColor="text1"/>
          <w:sz w:val="24"/>
          <w:szCs w:val="24"/>
          <w:highlight w:val="none"/>
          <w:u w:val="none" w:color="auto"/>
          <w:lang w:val="en-US" w:eastAsia="zh-CN"/>
          <w14:textFill>
            <w14:solidFill>
              <w14:schemeClr w14:val="tx1"/>
            </w14:solidFill>
          </w14:textFill>
        </w:rPr>
        <w:t>）</w:t>
      </w:r>
      <w:r>
        <w:rPr>
          <w:rFonts w:hint="default" w:ascii="宋体" w:hAnsi="宋体" w:eastAsia="宋体" w:cs="宋体"/>
          <w:b/>
          <w:bCs/>
          <w:i w:val="0"/>
          <w:iCs w:val="0"/>
          <w:color w:val="000000" w:themeColor="text1"/>
          <w:sz w:val="24"/>
          <w:szCs w:val="24"/>
          <w:highlight w:val="none"/>
          <w:u w:val="none" w:color="auto"/>
          <w:lang w:eastAsia="zh-CN"/>
          <w14:textFill>
            <w14:solidFill>
              <w14:schemeClr w14:val="tx1"/>
            </w14:solidFill>
          </w14:textFill>
        </w:rPr>
        <w:t>，通过适配检测后</w:t>
      </w:r>
      <w:r>
        <w:rPr>
          <w:rFonts w:hint="eastAsia" w:ascii="宋体" w:hAnsi="宋体" w:eastAsia="宋体" w:cs="宋体"/>
          <w:b/>
          <w:bCs/>
          <w:i w:val="0"/>
          <w:iCs w:val="0"/>
          <w:color w:val="000000" w:themeColor="text1"/>
          <w:sz w:val="24"/>
          <w:szCs w:val="24"/>
          <w:highlight w:val="none"/>
          <w:u w:val="none" w:color="auto"/>
          <w:lang w:val="en-US" w:eastAsia="zh-CN"/>
          <w14:textFill>
            <w14:solidFill>
              <w14:schemeClr w14:val="tx1"/>
            </w14:solidFill>
          </w14:textFill>
        </w:rPr>
        <w:t>方可按</w:t>
      </w:r>
      <w:r>
        <w:rPr>
          <w:rFonts w:hint="eastAsia" w:ascii="宋体" w:hAnsi="宋体" w:eastAsia="宋体" w:cs="宋体"/>
          <w:b/>
          <w:bCs/>
          <w:i w:val="0"/>
          <w:iCs w:val="0"/>
          <w:color w:val="000000" w:themeColor="text1"/>
          <w:sz w:val="24"/>
          <w:szCs w:val="24"/>
          <w:highlight w:val="none"/>
          <w:u w:val="none"/>
          <w:lang w:val="en-US" w:eastAsia="zh-CN"/>
          <w14:textFill>
            <w14:solidFill>
              <w14:schemeClr w14:val="tx1"/>
            </w14:solidFill>
          </w14:textFill>
        </w:rPr>
        <w:t>要求供货并施工，期间所产生的一切费用由中标人承担。中标人须在投标人文件中对此项做专项承诺（格式自拟）。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2" w:firstLineChars="200"/>
        <w:jc w:val="both"/>
        <w:textAlignment w:val="auto"/>
        <w:outlineLvl w:val="9"/>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highlight w:val="none"/>
          <w:lang w:eastAsia="zh-CN"/>
          <w14:textFill>
            <w14:solidFill>
              <w14:schemeClr w14:val="tx1"/>
            </w14:solidFill>
          </w14:textFill>
        </w:rPr>
        <w:t>中标人须配合采购人指定的第三方项目管理或监理单位的工作督导，切实保障项目顺利实施。须配合采购人指定的第三方测评单位完成项目测评，保障顺利完成最终验收。</w:t>
      </w:r>
    </w:p>
    <w:p>
      <w:pPr>
        <w:pStyle w:val="4"/>
        <w:numPr>
          <w:ilvl w:val="0"/>
          <w:numId w:val="0"/>
        </w:numPr>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（4）中标人拟成立项目工作团队应符合下列要求（人员不重复）：</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3711"/>
        <w:gridCol w:w="270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355" w:type="dxa"/>
            <w:noWrap w:val="0"/>
            <w:vAlign w:val="center"/>
          </w:tcPr>
          <w:p>
            <w:pPr>
              <w:pStyle w:val="14"/>
              <w:widowControl w:val="0"/>
              <w:spacing w:line="360" w:lineRule="auto"/>
              <w:jc w:val="center"/>
              <w:rPr>
                <w:rFonts w:hint="eastAsia" w:ascii="宋体" w:hAnsi="宋体" w:eastAsia="宋体" w:cs="宋体"/>
                <w:b/>
                <w:bCs/>
                <w:color w:val="000000" w:themeColor="text1"/>
                <w:sz w:val="24"/>
                <w:szCs w:val="24"/>
                <w:highlight w:val="none"/>
                <w:vertAlign w:val="baseli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岗位</w:t>
            </w:r>
          </w:p>
        </w:tc>
        <w:tc>
          <w:tcPr>
            <w:tcW w:w="3711"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人员要求</w:t>
            </w:r>
          </w:p>
        </w:tc>
        <w:tc>
          <w:tcPr>
            <w:tcW w:w="270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持证上岗要求</w:t>
            </w:r>
          </w:p>
        </w:tc>
        <w:tc>
          <w:tcPr>
            <w:tcW w:w="141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trPr>
        <w:tc>
          <w:tcPr>
            <w:tcW w:w="1355" w:type="dxa"/>
            <w:noWrap w:val="0"/>
            <w:vAlign w:val="center"/>
          </w:tcPr>
          <w:p>
            <w:pPr>
              <w:pStyle w:val="14"/>
              <w:widowControl w:val="0"/>
              <w:spacing w:line="360" w:lineRule="auto"/>
              <w:jc w:val="center"/>
              <w:rPr>
                <w:rFonts w:hint="eastAsia"/>
                <w:b/>
                <w:bCs/>
                <w:color w:val="000000" w:themeColor="text1"/>
                <w:sz w:val="24"/>
                <w:szCs w:val="24"/>
                <w:highlight w:val="none"/>
                <w14:textFill>
                  <w14:solidFill>
                    <w14:schemeClr w14:val="tx1"/>
                  </w14:solidFill>
                </w14:textFill>
              </w:rPr>
            </w:pPr>
          </w:p>
          <w:p>
            <w:pPr>
              <w:pStyle w:val="14"/>
              <w:widowControl w:val="0"/>
              <w:spacing w:line="360" w:lineRule="auto"/>
              <w:jc w:val="center"/>
              <w:rPr>
                <w:rFonts w:hint="eastAsia" w:ascii="宋体" w:hAnsi="宋体" w:eastAsia="宋体" w:cs="宋体"/>
                <w:b/>
                <w:bCs/>
                <w:color w:val="000000" w:themeColor="text1"/>
                <w:sz w:val="24"/>
                <w:szCs w:val="24"/>
                <w:highlight w:val="none"/>
                <w:vertAlign w:val="baseline"/>
                <w:lang w:eastAsia="zh-CN"/>
                <w14:textFill>
                  <w14:solidFill>
                    <w14:schemeClr w14:val="tx1"/>
                  </w14:solidFill>
                </w14:textFill>
              </w:rPr>
            </w:pPr>
            <w:r>
              <w:rPr>
                <w:rFonts w:hint="eastAsia" w:eastAsia="宋体"/>
                <w:b/>
                <w:bCs/>
                <w:color w:val="000000" w:themeColor="text1"/>
                <w:sz w:val="24"/>
                <w:szCs w:val="24"/>
                <w:highlight w:val="none"/>
                <w:lang w:eastAsia="zh-CN"/>
                <w14:textFill>
                  <w14:solidFill>
                    <w14:schemeClr w14:val="tx1"/>
                  </w14:solidFill>
                </w14:textFill>
              </w:rPr>
              <w:t>项目总负责人</w:t>
            </w:r>
          </w:p>
        </w:tc>
        <w:tc>
          <w:tcPr>
            <w:tcW w:w="3711"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1名（常驻现场）</w:t>
            </w:r>
          </w:p>
        </w:tc>
        <w:tc>
          <w:tcPr>
            <w:tcW w:w="2700" w:type="dxa"/>
            <w:noWrap w:val="0"/>
            <w:vAlign w:val="center"/>
          </w:tcPr>
          <w:p>
            <w:pPr>
              <w:pStyle w:val="14"/>
              <w:widowControl w:val="0"/>
              <w:spacing w:line="360" w:lineRule="auto"/>
              <w:jc w:val="center"/>
              <w:rPr>
                <w:rFonts w:hint="eastAsia" w:ascii="宋体" w:hAnsi="宋体" w:cs="宋体" w:eastAsiaTheme="minorEastAsia"/>
                <w:b/>
                <w:bCs/>
                <w:color w:val="000000" w:themeColor="text1"/>
                <w:sz w:val="24"/>
                <w:szCs w:val="24"/>
                <w:highlight w:val="none"/>
                <w:vertAlign w:val="baseline"/>
                <w:lang w:eastAsia="zh-CN"/>
                <w14:textFill>
                  <w14:solidFill>
                    <w14:schemeClr w14:val="tx1"/>
                  </w14:solidFill>
                </w14:textFill>
              </w:rPr>
            </w:pPr>
            <w:r>
              <w:rPr>
                <w:rStyle w:val="17"/>
                <w:rFonts w:hint="eastAsia" w:ascii="宋体" w:hAnsi="宋体"/>
                <w:b/>
                <w:bCs/>
                <w:color w:val="000000" w:themeColor="text1"/>
                <w:kern w:val="0"/>
                <w:sz w:val="24"/>
                <w:highlight w:val="none"/>
                <w14:textFill>
                  <w14:solidFill>
                    <w14:schemeClr w14:val="tx1"/>
                  </w14:solidFill>
                </w14:textFill>
              </w:rPr>
              <w:t>具有一级机电工程</w:t>
            </w:r>
            <w:r>
              <w:rPr>
                <w:rStyle w:val="17"/>
                <w:rFonts w:hint="eastAsia" w:ascii="宋体" w:hAnsi="宋体"/>
                <w:b/>
                <w:bCs/>
                <w:color w:val="000000" w:themeColor="text1"/>
                <w:kern w:val="0"/>
                <w:sz w:val="24"/>
                <w:highlight w:val="none"/>
                <w:lang w:eastAsia="zh-CN"/>
                <w14:textFill>
                  <w14:solidFill>
                    <w14:schemeClr w14:val="tx1"/>
                  </w14:solidFill>
                </w14:textFill>
              </w:rPr>
              <w:t>或通信广电工程</w:t>
            </w:r>
            <w:r>
              <w:rPr>
                <w:rStyle w:val="17"/>
                <w:rFonts w:hint="eastAsia" w:ascii="宋体" w:hAnsi="宋体"/>
                <w:b/>
                <w:bCs/>
                <w:color w:val="000000" w:themeColor="text1"/>
                <w:kern w:val="0"/>
                <w:sz w:val="24"/>
                <w:highlight w:val="none"/>
                <w14:textFill>
                  <w14:solidFill>
                    <w14:schemeClr w14:val="tx1"/>
                  </w14:solidFill>
                </w14:textFill>
              </w:rPr>
              <w:t>专业注册建造师执业资格,项目负责人B证</w:t>
            </w:r>
            <w:r>
              <w:rPr>
                <w:rStyle w:val="17"/>
                <w:rFonts w:hint="eastAsia" w:ascii="宋体" w:hAnsi="宋体"/>
                <w:b/>
                <w:bCs/>
                <w:color w:val="000000" w:themeColor="text1"/>
                <w:kern w:val="0"/>
                <w:sz w:val="24"/>
                <w:highlight w:val="none"/>
                <w:lang w:eastAsia="zh-CN"/>
                <w14:textFill>
                  <w14:solidFill>
                    <w14:schemeClr w14:val="tx1"/>
                  </w14:solidFill>
                </w14:textFill>
              </w:rPr>
              <w:t>。</w:t>
            </w:r>
          </w:p>
        </w:tc>
        <w:tc>
          <w:tcPr>
            <w:tcW w:w="141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应到</w:t>
            </w:r>
            <w:r>
              <w:rPr>
                <w:rFonts w:hint="eastAsia" w:ascii="宋体" w:hAnsi="宋体" w:eastAsia="宋体" w:cs="宋体"/>
                <w:b/>
                <w:color w:val="000000" w:themeColor="text1"/>
                <w:sz w:val="24"/>
                <w:szCs w:val="24"/>
                <w:highlight w:val="none"/>
                <w:vertAlign w:val="baseline"/>
                <w14:textFill>
                  <w14:solidFill>
                    <w14:schemeClr w14:val="tx1"/>
                  </w14:solidFill>
                </w14:textFill>
              </w:rPr>
              <w:t>采购单位签到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355" w:type="dxa"/>
            <w:noWrap w:val="0"/>
            <w:vAlign w:val="center"/>
          </w:tcPr>
          <w:p>
            <w:pPr>
              <w:pStyle w:val="14"/>
              <w:widowControl w:val="0"/>
              <w:spacing w:line="360" w:lineRule="auto"/>
              <w:jc w:val="center"/>
              <w:rPr>
                <w:rFonts w:hint="eastAsia" w:ascii="宋体" w:hAnsi="宋体" w:eastAsia="宋体" w:cs="宋体"/>
                <w:b/>
                <w:bCs/>
                <w:color w:val="000000" w:themeColor="text1"/>
                <w:sz w:val="24"/>
                <w:szCs w:val="24"/>
                <w:highlight w:val="none"/>
                <w:vertAlign w:val="baseline"/>
                <w:lang w:eastAsia="zh-CN"/>
                <w14:textFill>
                  <w14:solidFill>
                    <w14:schemeClr w14:val="tx1"/>
                  </w14:solidFill>
                </w14:textFill>
              </w:rPr>
            </w:pPr>
            <w:r>
              <w:rPr>
                <w:rFonts w:hint="eastAsia" w:eastAsia="宋体"/>
                <w:b/>
                <w:bCs/>
                <w:color w:val="000000" w:themeColor="text1"/>
                <w:sz w:val="24"/>
                <w:szCs w:val="24"/>
                <w:highlight w:val="none"/>
                <w:lang w:eastAsia="zh-CN"/>
                <w14:textFill>
                  <w14:solidFill>
                    <w14:schemeClr w14:val="tx1"/>
                  </w14:solidFill>
                </w14:textFill>
              </w:rPr>
              <w:t>各库点负责人</w:t>
            </w:r>
          </w:p>
        </w:tc>
        <w:tc>
          <w:tcPr>
            <w:tcW w:w="3711"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至少10名（常驻现场），</w:t>
            </w:r>
            <w:r>
              <w:rPr>
                <w:rFonts w:hint="eastAsia" w:ascii="宋体" w:hAnsi="宋体" w:eastAsia="宋体" w:cs="宋体"/>
                <w:b/>
                <w:color w:val="000000" w:themeColor="text1"/>
                <w:sz w:val="24"/>
                <w:szCs w:val="24"/>
                <w:highlight w:val="none"/>
                <w14:textFill>
                  <w14:solidFill>
                    <w14:schemeClr w14:val="tx1"/>
                  </w14:solidFill>
                </w14:textFill>
              </w:rPr>
              <w:t>本项目</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13个中心粮库</w:t>
            </w:r>
            <w:r>
              <w:rPr>
                <w:rFonts w:hint="eastAsia" w:ascii="宋体" w:hAnsi="宋体" w:eastAsia="宋体" w:cs="宋体"/>
                <w:b/>
                <w:color w:val="000000" w:themeColor="text1"/>
                <w:sz w:val="24"/>
                <w:szCs w:val="24"/>
                <w:highlight w:val="none"/>
                <w14:textFill>
                  <w14:solidFill>
                    <w14:schemeClr w14:val="tx1"/>
                  </w14:solidFill>
                </w14:textFill>
              </w:rPr>
              <w:t>拟</w:t>
            </w:r>
            <w:r>
              <w:rPr>
                <w:rFonts w:hint="eastAsia" w:ascii="宋体" w:hAnsi="宋体" w:eastAsia="宋体" w:cs="宋体"/>
                <w:b/>
                <w:color w:val="000000" w:themeColor="text1"/>
                <w:sz w:val="24"/>
                <w:szCs w:val="24"/>
                <w:highlight w:val="none"/>
                <w:lang w:eastAsia="zh-CN"/>
                <w14:textFill>
                  <w14:solidFill>
                    <w14:schemeClr w14:val="tx1"/>
                  </w14:solidFill>
                </w14:textFill>
              </w:rPr>
              <w:t>派</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10名库点负责人（其中：尤溪县、将乐县和沙县区可以同一负责人，</w:t>
            </w: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配备1名；清流县和明溪县可以同一负责人，</w:t>
            </w: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配备1名）</w:t>
            </w:r>
          </w:p>
        </w:tc>
        <w:tc>
          <w:tcPr>
            <w:tcW w:w="2700" w:type="dxa"/>
            <w:noWrap w:val="0"/>
            <w:vAlign w:val="center"/>
          </w:tcPr>
          <w:p>
            <w:pPr>
              <w:pStyle w:val="14"/>
              <w:widowControl w:val="0"/>
              <w:spacing w:line="360" w:lineRule="auto"/>
              <w:jc w:val="center"/>
              <w:rPr>
                <w:rFonts w:hint="eastAsia" w:ascii="宋体" w:hAnsi="宋体" w:cs="宋体" w:eastAsiaTheme="minorEastAsia"/>
                <w:b/>
                <w:bCs/>
                <w:color w:val="000000" w:themeColor="text1"/>
                <w:sz w:val="24"/>
                <w:szCs w:val="24"/>
                <w:highlight w:val="none"/>
                <w:vertAlign w:val="baseline"/>
                <w:lang w:eastAsia="zh-CN"/>
                <w14:textFill>
                  <w14:solidFill>
                    <w14:schemeClr w14:val="tx1"/>
                  </w14:solidFill>
                </w14:textFill>
              </w:rPr>
            </w:pPr>
            <w:r>
              <w:rPr>
                <w:rStyle w:val="17"/>
                <w:rFonts w:hint="eastAsia" w:ascii="宋体" w:hAnsi="宋体"/>
                <w:b/>
                <w:bCs/>
                <w:color w:val="000000" w:themeColor="text1"/>
                <w:kern w:val="0"/>
                <w:sz w:val="24"/>
                <w:highlight w:val="none"/>
                <w14:textFill>
                  <w14:solidFill>
                    <w14:schemeClr w14:val="tx1"/>
                  </w14:solidFill>
                </w14:textFill>
              </w:rPr>
              <w:t>具有</w:t>
            </w:r>
            <w:r>
              <w:rPr>
                <w:rStyle w:val="17"/>
                <w:rFonts w:hint="eastAsia" w:ascii="宋体" w:hAnsi="宋体"/>
                <w:b/>
                <w:bCs/>
                <w:color w:val="000000" w:themeColor="text1"/>
                <w:kern w:val="0"/>
                <w:sz w:val="24"/>
                <w:highlight w:val="none"/>
                <w:lang w:eastAsia="zh-CN"/>
                <w14:textFill>
                  <w14:solidFill>
                    <w14:schemeClr w14:val="tx1"/>
                  </w14:solidFill>
                </w14:textFill>
              </w:rPr>
              <w:t>二</w:t>
            </w:r>
            <w:r>
              <w:rPr>
                <w:rStyle w:val="17"/>
                <w:rFonts w:hint="eastAsia" w:ascii="宋体" w:hAnsi="宋体"/>
                <w:b/>
                <w:bCs/>
                <w:color w:val="000000" w:themeColor="text1"/>
                <w:kern w:val="0"/>
                <w:sz w:val="24"/>
                <w:highlight w:val="none"/>
                <w14:textFill>
                  <w14:solidFill>
                    <w14:schemeClr w14:val="tx1"/>
                  </w14:solidFill>
                </w14:textFill>
              </w:rPr>
              <w:t>级</w:t>
            </w:r>
            <w:r>
              <w:rPr>
                <w:rStyle w:val="17"/>
                <w:rFonts w:hint="eastAsia" w:ascii="宋体" w:hAnsi="宋体"/>
                <w:b/>
                <w:bCs/>
                <w:color w:val="000000" w:themeColor="text1"/>
                <w:kern w:val="0"/>
                <w:sz w:val="24"/>
                <w:highlight w:val="none"/>
                <w:lang w:eastAsia="zh-CN"/>
                <w14:textFill>
                  <w14:solidFill>
                    <w14:schemeClr w14:val="tx1"/>
                  </w14:solidFill>
                </w14:textFill>
              </w:rPr>
              <w:t>及以上</w:t>
            </w:r>
            <w:r>
              <w:rPr>
                <w:rStyle w:val="17"/>
                <w:rFonts w:hint="eastAsia" w:ascii="宋体" w:hAnsi="宋体"/>
                <w:b/>
                <w:bCs/>
                <w:color w:val="000000" w:themeColor="text1"/>
                <w:kern w:val="0"/>
                <w:sz w:val="24"/>
                <w:highlight w:val="none"/>
                <w14:textFill>
                  <w14:solidFill>
                    <w14:schemeClr w14:val="tx1"/>
                  </w14:solidFill>
                </w14:textFill>
              </w:rPr>
              <w:t>机电工程</w:t>
            </w:r>
            <w:r>
              <w:rPr>
                <w:rStyle w:val="17"/>
                <w:rFonts w:hint="eastAsia" w:ascii="宋体" w:hAnsi="宋体"/>
                <w:b/>
                <w:bCs/>
                <w:color w:val="000000" w:themeColor="text1"/>
                <w:kern w:val="0"/>
                <w:sz w:val="24"/>
                <w:highlight w:val="none"/>
                <w:lang w:eastAsia="zh-CN"/>
                <w14:textFill>
                  <w14:solidFill>
                    <w14:schemeClr w14:val="tx1"/>
                  </w14:solidFill>
                </w14:textFill>
              </w:rPr>
              <w:t>或通信广电工程</w:t>
            </w:r>
            <w:r>
              <w:rPr>
                <w:rStyle w:val="17"/>
                <w:rFonts w:hint="eastAsia" w:ascii="宋体" w:hAnsi="宋体"/>
                <w:b/>
                <w:bCs/>
                <w:color w:val="000000" w:themeColor="text1"/>
                <w:kern w:val="0"/>
                <w:sz w:val="24"/>
                <w:highlight w:val="none"/>
                <w14:textFill>
                  <w14:solidFill>
                    <w14:schemeClr w14:val="tx1"/>
                  </w14:solidFill>
                </w14:textFill>
              </w:rPr>
              <w:t>专业注册建造师执业资格</w:t>
            </w:r>
            <w:r>
              <w:rPr>
                <w:rStyle w:val="17"/>
                <w:rFonts w:hint="eastAsia" w:ascii="宋体" w:hAnsi="宋体"/>
                <w:b/>
                <w:bCs/>
                <w:color w:val="000000" w:themeColor="text1"/>
                <w:kern w:val="0"/>
                <w:sz w:val="24"/>
                <w:highlight w:val="none"/>
                <w:lang w:eastAsia="zh-CN"/>
                <w14:textFill>
                  <w14:solidFill>
                    <w14:schemeClr w14:val="tx1"/>
                  </w14:solidFill>
                </w14:textFill>
              </w:rPr>
              <w:t>。</w:t>
            </w:r>
          </w:p>
        </w:tc>
        <w:tc>
          <w:tcPr>
            <w:tcW w:w="141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应到</w:t>
            </w:r>
            <w:r>
              <w:rPr>
                <w:rFonts w:hint="eastAsia" w:ascii="宋体" w:hAnsi="宋体" w:eastAsia="宋体" w:cs="宋体"/>
                <w:b/>
                <w:color w:val="000000" w:themeColor="text1"/>
                <w:sz w:val="24"/>
                <w:szCs w:val="24"/>
                <w:highlight w:val="none"/>
                <w:vertAlign w:val="baseline"/>
                <w14:textFill>
                  <w14:solidFill>
                    <w14:schemeClr w14:val="tx1"/>
                  </w14:solidFill>
                </w14:textFill>
              </w:rPr>
              <w:t>采购单位签到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55" w:type="dxa"/>
            <w:noWrap w:val="0"/>
            <w:vAlign w:val="center"/>
          </w:tcPr>
          <w:p>
            <w:pPr>
              <w:pStyle w:val="14"/>
              <w:widowControl w:val="0"/>
              <w:spacing w:line="360" w:lineRule="auto"/>
              <w:jc w:val="center"/>
              <w:rPr>
                <w:rFonts w:hint="eastAsia" w:eastAsia="宋体"/>
                <w:b/>
                <w:bCs/>
                <w:color w:val="000000" w:themeColor="text1"/>
                <w:sz w:val="24"/>
                <w:szCs w:val="24"/>
                <w:highlight w:val="none"/>
                <w:lang w:eastAsia="zh-CN"/>
                <w14:textFill>
                  <w14:solidFill>
                    <w14:schemeClr w14:val="tx1"/>
                  </w14:solidFill>
                </w14:textFill>
              </w:rPr>
            </w:pPr>
            <w:r>
              <w:rPr>
                <w:rFonts w:hint="eastAsia" w:eastAsia="宋体"/>
                <w:b/>
                <w:bCs/>
                <w:color w:val="000000" w:themeColor="text1"/>
                <w:sz w:val="24"/>
                <w:szCs w:val="24"/>
                <w:highlight w:val="none"/>
                <w:lang w:eastAsia="zh-CN"/>
                <w14:textFill>
                  <w14:solidFill>
                    <w14:schemeClr w14:val="tx1"/>
                  </w14:solidFill>
                </w14:textFill>
              </w:rPr>
              <w:t>各库点技术员</w:t>
            </w:r>
          </w:p>
        </w:tc>
        <w:tc>
          <w:tcPr>
            <w:tcW w:w="3711"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至少10名（常驻现场），</w:t>
            </w:r>
            <w:r>
              <w:rPr>
                <w:rFonts w:hint="eastAsia" w:ascii="宋体" w:hAnsi="宋体" w:eastAsia="宋体" w:cs="宋体"/>
                <w:b/>
                <w:color w:val="000000" w:themeColor="text1"/>
                <w:sz w:val="24"/>
                <w:szCs w:val="24"/>
                <w:highlight w:val="none"/>
                <w14:textFill>
                  <w14:solidFill>
                    <w14:schemeClr w14:val="tx1"/>
                  </w14:solidFill>
                </w14:textFill>
              </w:rPr>
              <w:t>本项目</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13个中心粮库</w:t>
            </w:r>
            <w:r>
              <w:rPr>
                <w:rFonts w:hint="eastAsia" w:ascii="宋体" w:hAnsi="宋体" w:eastAsia="宋体" w:cs="宋体"/>
                <w:b/>
                <w:color w:val="000000" w:themeColor="text1"/>
                <w:sz w:val="24"/>
                <w:szCs w:val="24"/>
                <w:highlight w:val="none"/>
                <w14:textFill>
                  <w14:solidFill>
                    <w14:schemeClr w14:val="tx1"/>
                  </w14:solidFill>
                </w14:textFill>
              </w:rPr>
              <w:t>拟</w:t>
            </w:r>
            <w:r>
              <w:rPr>
                <w:rFonts w:hint="eastAsia" w:ascii="宋体" w:hAnsi="宋体" w:eastAsia="宋体" w:cs="宋体"/>
                <w:b/>
                <w:color w:val="000000" w:themeColor="text1"/>
                <w:sz w:val="24"/>
                <w:szCs w:val="24"/>
                <w:highlight w:val="none"/>
                <w:lang w:eastAsia="zh-CN"/>
                <w14:textFill>
                  <w14:solidFill>
                    <w14:schemeClr w14:val="tx1"/>
                  </w14:solidFill>
                </w14:textFill>
              </w:rPr>
              <w:t>派</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10名库点技术员（其中：尤溪县、将乐县和沙县区可以同一负责人，</w:t>
            </w: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配备1名；清流县和明溪县可以同一负责人，</w:t>
            </w: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配备1名）</w:t>
            </w:r>
          </w:p>
        </w:tc>
        <w:tc>
          <w:tcPr>
            <w:tcW w:w="270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具</w:t>
            </w:r>
            <w:r>
              <w:rPr>
                <w:rFonts w:hint="eastAsia" w:ascii="宋体" w:hAnsi="宋体" w:eastAsia="宋体" w:cs="宋体"/>
                <w:b/>
                <w:color w:val="000000" w:themeColor="text1"/>
                <w:sz w:val="24"/>
                <w:szCs w:val="24"/>
                <w:highlight w:val="none"/>
                <w:lang w:eastAsia="zh-CN"/>
                <w14:textFill>
                  <w14:solidFill>
                    <w14:schemeClr w14:val="tx1"/>
                  </w14:solidFill>
                </w14:textFill>
              </w:rPr>
              <w:t>有</w:t>
            </w:r>
            <w:r>
              <w:rPr>
                <w:rFonts w:hint="eastAsia" w:ascii="宋体" w:hAnsi="宋体" w:eastAsia="宋体" w:cs="宋体"/>
                <w:b/>
                <w:color w:val="000000" w:themeColor="text1"/>
                <w:sz w:val="24"/>
                <w:szCs w:val="24"/>
                <w:highlight w:val="none"/>
                <w14:textFill>
                  <w14:solidFill>
                    <w14:schemeClr w14:val="tx1"/>
                  </w14:solidFill>
                </w14:textFill>
              </w:rPr>
              <w:t>工程师</w:t>
            </w:r>
            <w:r>
              <w:rPr>
                <w:rFonts w:hint="eastAsia" w:ascii="宋体" w:hAnsi="宋体" w:eastAsia="宋体" w:cs="宋体"/>
                <w:b/>
                <w:color w:val="000000" w:themeColor="text1"/>
                <w:sz w:val="24"/>
                <w:szCs w:val="24"/>
                <w:highlight w:val="none"/>
                <w:lang w:eastAsia="zh-CN"/>
                <w14:textFill>
                  <w14:solidFill>
                    <w14:schemeClr w14:val="tx1"/>
                  </w14:solidFill>
                </w14:textFill>
              </w:rPr>
              <w:t>及以上执业资格</w:t>
            </w:r>
            <w:r>
              <w:rPr>
                <w:rFonts w:hint="eastAsia" w:ascii="宋体" w:hAnsi="宋体" w:eastAsia="宋体" w:cs="宋体"/>
                <w:b/>
                <w:color w:val="000000" w:themeColor="text1"/>
                <w:sz w:val="24"/>
                <w:szCs w:val="24"/>
                <w:highlight w:val="none"/>
                <w14:textFill>
                  <w14:solidFill>
                    <w14:schemeClr w14:val="tx1"/>
                  </w14:solidFill>
                </w14:textFill>
              </w:rPr>
              <w:t>（电子</w:t>
            </w:r>
            <w:r>
              <w:rPr>
                <w:rFonts w:hint="eastAsia" w:ascii="宋体" w:hAnsi="宋体" w:eastAsia="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智能化</w:t>
            </w:r>
            <w:r>
              <w:rPr>
                <w:rFonts w:hint="eastAsia" w:ascii="宋体" w:hAnsi="宋体" w:eastAsia="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计算机</w:t>
            </w:r>
            <w:r>
              <w:rPr>
                <w:rFonts w:hint="eastAsia" w:ascii="宋体" w:hAnsi="宋体" w:eastAsia="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信息化等相关专业）</w:t>
            </w:r>
            <w:r>
              <w:rPr>
                <w:rFonts w:hint="eastAsia" w:ascii="宋体" w:hAnsi="宋体" w:eastAsia="宋体" w:cs="宋体"/>
                <w:b/>
                <w:color w:val="000000" w:themeColor="text1"/>
                <w:sz w:val="24"/>
                <w:szCs w:val="24"/>
                <w:highlight w:val="none"/>
                <w:lang w:eastAsia="zh-CN"/>
                <w14:textFill>
                  <w14:solidFill>
                    <w14:schemeClr w14:val="tx1"/>
                  </w14:solidFill>
                </w14:textFill>
              </w:rPr>
              <w:t>。</w:t>
            </w:r>
          </w:p>
        </w:tc>
        <w:tc>
          <w:tcPr>
            <w:tcW w:w="141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应到</w:t>
            </w:r>
            <w:r>
              <w:rPr>
                <w:rFonts w:hint="eastAsia" w:ascii="宋体" w:hAnsi="宋体" w:eastAsia="宋体" w:cs="宋体"/>
                <w:b/>
                <w:color w:val="000000" w:themeColor="text1"/>
                <w:sz w:val="24"/>
                <w:szCs w:val="24"/>
                <w:highlight w:val="none"/>
                <w:vertAlign w:val="baseline"/>
                <w14:textFill>
                  <w14:solidFill>
                    <w14:schemeClr w14:val="tx1"/>
                  </w14:solidFill>
                </w14:textFill>
              </w:rPr>
              <w:t>采购单位签到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355" w:type="dxa"/>
            <w:noWrap w:val="0"/>
            <w:vAlign w:val="center"/>
          </w:tcPr>
          <w:p>
            <w:pPr>
              <w:pStyle w:val="14"/>
              <w:widowControl w:val="0"/>
              <w:spacing w:line="360" w:lineRule="auto"/>
              <w:jc w:val="center"/>
              <w:rPr>
                <w:rFonts w:hint="eastAsia" w:eastAsia="宋体" w:asciiTheme="minorHAnsi" w:hAnsiTheme="minorHAnsi" w:cstheme="minorBidi"/>
                <w:b/>
                <w:bCs/>
                <w:color w:val="000000" w:themeColor="text1"/>
                <w:sz w:val="24"/>
                <w:szCs w:val="24"/>
                <w:highlight w:val="none"/>
                <w:lang w:val="en-US" w:eastAsia="zh-CN"/>
                <w14:textFill>
                  <w14:solidFill>
                    <w14:schemeClr w14:val="tx1"/>
                  </w14:solidFill>
                </w14:textFill>
              </w:rPr>
            </w:pPr>
            <w:r>
              <w:rPr>
                <w:rFonts w:hint="eastAsia" w:eastAsia="宋体"/>
                <w:b/>
                <w:bCs/>
                <w:color w:val="000000" w:themeColor="text1"/>
                <w:sz w:val="24"/>
                <w:szCs w:val="24"/>
                <w:highlight w:val="none"/>
                <w:lang w:eastAsia="zh-CN"/>
                <w14:textFill>
                  <w14:solidFill>
                    <w14:schemeClr w14:val="tx1"/>
                  </w14:solidFill>
                </w14:textFill>
              </w:rPr>
              <w:t>各库点安全员</w:t>
            </w:r>
          </w:p>
        </w:tc>
        <w:tc>
          <w:tcPr>
            <w:tcW w:w="3711"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至少10名（常驻现场），</w:t>
            </w:r>
            <w:r>
              <w:rPr>
                <w:rFonts w:hint="eastAsia" w:ascii="宋体" w:hAnsi="宋体" w:eastAsia="宋体" w:cs="宋体"/>
                <w:b/>
                <w:color w:val="000000" w:themeColor="text1"/>
                <w:sz w:val="24"/>
                <w:szCs w:val="24"/>
                <w:highlight w:val="none"/>
                <w14:textFill>
                  <w14:solidFill>
                    <w14:schemeClr w14:val="tx1"/>
                  </w14:solidFill>
                </w14:textFill>
              </w:rPr>
              <w:t>本项目</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13个中心粮库</w:t>
            </w:r>
            <w:r>
              <w:rPr>
                <w:rFonts w:hint="eastAsia" w:ascii="宋体" w:hAnsi="宋体" w:eastAsia="宋体" w:cs="宋体"/>
                <w:b/>
                <w:color w:val="000000" w:themeColor="text1"/>
                <w:sz w:val="24"/>
                <w:szCs w:val="24"/>
                <w:highlight w:val="none"/>
                <w14:textFill>
                  <w14:solidFill>
                    <w14:schemeClr w14:val="tx1"/>
                  </w14:solidFill>
                </w14:textFill>
              </w:rPr>
              <w:t>拟</w:t>
            </w:r>
            <w:r>
              <w:rPr>
                <w:rFonts w:hint="eastAsia" w:ascii="宋体" w:hAnsi="宋体" w:eastAsia="宋体" w:cs="宋体"/>
                <w:b/>
                <w:color w:val="000000" w:themeColor="text1"/>
                <w:sz w:val="24"/>
                <w:szCs w:val="24"/>
                <w:highlight w:val="none"/>
                <w:lang w:eastAsia="zh-CN"/>
                <w14:textFill>
                  <w14:solidFill>
                    <w14:schemeClr w14:val="tx1"/>
                  </w14:solidFill>
                </w14:textFill>
              </w:rPr>
              <w:t>派</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10名库点技术员（其中：尤溪县、将乐县和沙县区可以同一负责人，</w:t>
            </w: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配备1名；清流县和明溪县可以同一负责人，</w:t>
            </w:r>
            <w: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t>至少</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配备1名）</w:t>
            </w:r>
          </w:p>
        </w:tc>
        <w:tc>
          <w:tcPr>
            <w:tcW w:w="270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lang w:val="en-US" w:eastAsia="zh-Hans"/>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具</w:t>
            </w:r>
            <w:r>
              <w:rPr>
                <w:rFonts w:hint="eastAsia" w:ascii="宋体" w:hAnsi="宋体" w:eastAsia="宋体" w:cs="宋体"/>
                <w:b/>
                <w:color w:val="000000" w:themeColor="text1"/>
                <w:sz w:val="24"/>
                <w:szCs w:val="24"/>
                <w:highlight w:val="none"/>
                <w:lang w:eastAsia="zh-CN"/>
                <w14:textFill>
                  <w14:solidFill>
                    <w14:schemeClr w14:val="tx1"/>
                  </w14:solidFill>
                </w14:textFill>
              </w:rPr>
              <w:t>有安全员资格证。</w:t>
            </w:r>
          </w:p>
        </w:tc>
        <w:tc>
          <w:tcPr>
            <w:tcW w:w="1410" w:type="dxa"/>
            <w:noWrap w:val="0"/>
            <w:vAlign w:val="center"/>
          </w:tcPr>
          <w:p>
            <w:pPr>
              <w:pStyle w:val="14"/>
              <w:widowControl w:val="0"/>
              <w:spacing w:line="360" w:lineRule="auto"/>
              <w:jc w:val="center"/>
              <w:rPr>
                <w:rFonts w:hint="eastAsia" w:ascii="宋体" w:hAnsi="宋体" w:eastAsia="宋体" w:cs="宋体"/>
                <w:b/>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vertAlign w:val="baseline"/>
                <w:lang w:eastAsia="zh-CN"/>
                <w14:textFill>
                  <w14:solidFill>
                    <w14:schemeClr w14:val="tx1"/>
                  </w14:solidFill>
                </w14:textFill>
              </w:rPr>
              <w:t>应到</w:t>
            </w:r>
            <w:r>
              <w:rPr>
                <w:rFonts w:hint="eastAsia" w:ascii="宋体" w:hAnsi="宋体" w:eastAsia="宋体" w:cs="宋体"/>
                <w:b/>
                <w:color w:val="000000" w:themeColor="text1"/>
                <w:sz w:val="24"/>
                <w:szCs w:val="24"/>
                <w:highlight w:val="none"/>
                <w:vertAlign w:val="baseline"/>
                <w14:textFill>
                  <w14:solidFill>
                    <w14:schemeClr w14:val="tx1"/>
                  </w14:solidFill>
                </w14:textFill>
              </w:rPr>
              <w:t>采购单位签到</w:t>
            </w:r>
          </w:p>
        </w:tc>
      </w:tr>
    </w:tbl>
    <w:p>
      <w:pPr>
        <w:pStyle w:val="14"/>
        <w:spacing w:line="360" w:lineRule="auto"/>
        <w:jc w:val="both"/>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注：</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bCs w:val="0"/>
          <w:color w:val="000000" w:themeColor="text1"/>
          <w:sz w:val="24"/>
          <w:szCs w:val="24"/>
          <w:highlight w:val="none"/>
          <w14:textFill>
            <w14:solidFill>
              <w14:schemeClr w14:val="tx1"/>
            </w14:solidFill>
          </w14:textFill>
        </w:rPr>
        <w:t>表中所列人员配备为最低限度要求，投标方应根据实际工作需要及时投入人员。</w:t>
      </w:r>
    </w:p>
    <w:p>
      <w:pPr>
        <w:pStyle w:val="8"/>
        <w:numPr>
          <w:ilvl w:val="0"/>
          <w:numId w:val="0"/>
        </w:numPr>
        <w:spacing w:before="75" w:beforeAutospacing="0" w:after="75" w:afterAutospacing="0" w:line="360" w:lineRule="auto"/>
        <w:ind w:right="0" w:rightChars="0"/>
        <w:rPr>
          <w:rFonts w:hint="eastAsia" w:ascii="宋体" w:hAnsi="宋体" w:eastAsia="宋体" w:cs="宋体"/>
          <w:b/>
          <w:bCs w:val="0"/>
          <w:color w:val="000000" w:themeColor="text1"/>
          <w:highlight w:val="none"/>
          <w:lang w:val="en-US" w:eastAsia="zh-CN"/>
          <w14:textFill>
            <w14:solidFill>
              <w14:schemeClr w14:val="tx1"/>
            </w14:solidFill>
          </w14:textFill>
        </w:rPr>
      </w:pPr>
      <w:r>
        <w:rPr>
          <w:rFonts w:hint="eastAsia" w:ascii="宋体" w:hAnsi="宋体" w:eastAsia="宋体" w:cs="宋体"/>
          <w:b/>
          <w:bCs w:val="0"/>
          <w:color w:val="000000" w:themeColor="text1"/>
          <w:highlight w:val="none"/>
          <w:lang w:val="en-US" w:eastAsia="zh-CN"/>
          <w14:textFill>
            <w14:solidFill>
              <w14:schemeClr w14:val="tx1"/>
            </w14:solidFill>
          </w14:textFill>
        </w:rPr>
        <w:t>2.投标人投标响应须提供上述人员证书复印件、人员身份证复印件、投标截止时间（不含投标截止当月）近三个月内任意一个月由投标人为其缴交的社保证明材料。</w:t>
      </w:r>
    </w:p>
    <w:p>
      <w:pPr>
        <w:pStyle w:val="8"/>
        <w:numPr>
          <w:ilvl w:val="0"/>
          <w:numId w:val="0"/>
        </w:numPr>
        <w:spacing w:before="75" w:beforeAutospacing="0" w:after="75" w:afterAutospacing="0" w:line="360" w:lineRule="auto"/>
        <w:rPr>
          <w:rFonts w:hint="eastAsia" w:ascii="宋体" w:hAnsi="宋体" w:eastAsia="宋体" w:cs="宋体"/>
          <w:b/>
          <w:bCs w:val="0"/>
          <w:color w:val="000000" w:themeColor="text1"/>
          <w:highlight w:val="none"/>
          <w:lang w:val="en-US" w:eastAsia="zh-CN"/>
          <w14:textFill>
            <w14:solidFill>
              <w14:schemeClr w14:val="tx1"/>
            </w14:solidFill>
          </w14:textFill>
        </w:rPr>
      </w:pPr>
      <w:r>
        <w:rPr>
          <w:rFonts w:hint="eastAsia" w:ascii="宋体" w:hAnsi="宋体" w:eastAsia="宋体" w:cs="宋体"/>
          <w:b/>
          <w:bCs w:val="0"/>
          <w:color w:val="000000" w:themeColor="text1"/>
          <w:highlight w:val="none"/>
          <w:lang w:val="en-US" w:eastAsia="zh-CN"/>
          <w14:textFill>
            <w14:solidFill>
              <w14:schemeClr w14:val="tx1"/>
            </w14:solidFill>
          </w14:textFill>
        </w:rPr>
        <w:t>3.中标人提供的以上驻点人员，未按采购单位要求驻点签到，发现1次扣1000元。</w:t>
      </w:r>
    </w:p>
    <w:p>
      <w:pPr>
        <w:pStyle w:val="8"/>
        <w:numPr>
          <w:ilvl w:val="0"/>
          <w:numId w:val="0"/>
        </w:numPr>
        <w:spacing w:before="75" w:beforeAutospacing="0" w:after="75" w:afterAutospacing="0" w:line="360" w:lineRule="auto"/>
        <w:ind w:right="0" w:rightChars="0"/>
        <w:rPr>
          <w:rFonts w:hint="eastAsia" w:ascii="宋体" w:hAnsi="宋体" w:eastAsia="宋体" w:cs="宋体"/>
          <w:b/>
          <w:bCs w:val="0"/>
          <w:color w:val="000000" w:themeColor="text1"/>
          <w:highlight w:val="none"/>
          <w:lang w:val="en-US" w:eastAsia="zh-CN"/>
          <w14:textFill>
            <w14:solidFill>
              <w14:schemeClr w14:val="tx1"/>
            </w14:solidFill>
          </w14:textFill>
        </w:rPr>
      </w:pPr>
      <w:r>
        <w:rPr>
          <w:rFonts w:hint="eastAsia" w:ascii="宋体" w:hAnsi="宋体" w:eastAsia="宋体" w:cs="宋体"/>
          <w:b/>
          <w:bCs w:val="0"/>
          <w:color w:val="000000" w:themeColor="text1"/>
          <w:highlight w:val="none"/>
          <w:lang w:val="en-US" w:eastAsia="zh-CN"/>
          <w14:textFill>
            <w14:solidFill>
              <w14:schemeClr w14:val="tx1"/>
            </w14:solidFill>
          </w14:textFill>
        </w:rPr>
        <w:t>4.若中标人需中途更换派驻人员，应提前15个日历日书面通知采购人同意，并做好工作交接，且其接替人员的资格、业绩和信誉不得低于被替换人员。项目总负责人变更一次扣5万元，库点负责人变更一次扣2万元，技术员变更一次扣2万元，安全员变更一次扣2万元。</w:t>
      </w:r>
    </w:p>
    <w:p>
      <w:pPr>
        <w:pStyle w:val="14"/>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三、商务要求（以“★”标示的内容为不允许负偏离的实质性要求）</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w:t>
      </w:r>
    </w:p>
    <w:tbl>
      <w:tblPr>
        <w:tblStyle w:val="10"/>
        <w:tblW w:w="951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6"/>
        <w:gridCol w:w="1190"/>
        <w:gridCol w:w="1480"/>
        <w:gridCol w:w="597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19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参数性质</w:t>
            </w:r>
          </w:p>
        </w:tc>
        <w:tc>
          <w:tcPr>
            <w:tcW w:w="148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类型</w:t>
            </w:r>
          </w:p>
        </w:tc>
        <w:tc>
          <w:tcPr>
            <w:tcW w:w="597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p>
        </w:tc>
        <w:tc>
          <w:tcPr>
            <w:tcW w:w="119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交货时间</w:t>
            </w:r>
          </w:p>
        </w:tc>
        <w:tc>
          <w:tcPr>
            <w:tcW w:w="5970" w:type="dxa"/>
          </w:tcPr>
          <w:p>
            <w:pPr>
              <w:pStyle w:val="14"/>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自合同签订之日起</w:t>
            </w:r>
            <w:r>
              <w:rPr>
                <w:rFonts w:hint="eastAsia" w:ascii="宋体" w:hAnsi="宋体" w:eastAsia="宋体" w:cs="宋体"/>
                <w:b/>
                <w:color w:val="000000" w:themeColor="text1"/>
                <w:sz w:val="24"/>
                <w:szCs w:val="24"/>
                <w:highlight w:val="none"/>
                <w:lang w:val="en-US" w:eastAsia="zh-CN"/>
                <w14:textFill>
                  <w14:solidFill>
                    <w14:schemeClr w14:val="tx1"/>
                  </w14:solidFill>
                </w14:textFill>
              </w:rPr>
              <w:t>60</w:t>
            </w:r>
            <w:r>
              <w:rPr>
                <w:rFonts w:hint="eastAsia" w:ascii="宋体" w:hAnsi="宋体" w:eastAsia="宋体" w:cs="宋体"/>
                <w:b/>
                <w:color w:val="000000" w:themeColor="text1"/>
                <w:sz w:val="24"/>
                <w:szCs w:val="24"/>
                <w:highlight w:val="none"/>
                <w14:textFill>
                  <w14:solidFill>
                    <w14:schemeClr w14:val="tx1"/>
                  </w14:solidFill>
                </w14:textFill>
              </w:rPr>
              <w:t>日</w:t>
            </w:r>
            <w:r>
              <w:rPr>
                <w:rFonts w:hint="eastAsia" w:ascii="宋体" w:hAnsi="宋体" w:eastAsia="宋体" w:cs="宋体"/>
                <w:b/>
                <w:color w:val="000000" w:themeColor="text1"/>
                <w:sz w:val="24"/>
                <w:szCs w:val="24"/>
                <w:highlight w:val="none"/>
                <w:lang w:eastAsia="zh-CN"/>
                <w14:textFill>
                  <w14:solidFill>
                    <w14:schemeClr w14:val="tx1"/>
                  </w14:solidFill>
                </w14:textFill>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p>
        </w:tc>
        <w:tc>
          <w:tcPr>
            <w:tcW w:w="119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交货地点</w:t>
            </w:r>
          </w:p>
        </w:tc>
        <w:tc>
          <w:tcPr>
            <w:tcW w:w="597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具体地址按用户的指定地点交付。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w:t>
            </w:r>
          </w:p>
        </w:tc>
        <w:tc>
          <w:tcPr>
            <w:tcW w:w="119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交货条件</w:t>
            </w:r>
          </w:p>
        </w:tc>
        <w:tc>
          <w:tcPr>
            <w:tcW w:w="597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按照招标文件要求提供货物，经采购人验收合格后交付使用。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w:t>
            </w:r>
          </w:p>
        </w:tc>
        <w:tc>
          <w:tcPr>
            <w:tcW w:w="119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是否邀请投标人验收</w:t>
            </w:r>
          </w:p>
        </w:tc>
        <w:tc>
          <w:tcPr>
            <w:tcW w:w="597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不邀请投标人验收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w:t>
            </w:r>
          </w:p>
        </w:tc>
        <w:tc>
          <w:tcPr>
            <w:tcW w:w="119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履约验收方式</w:t>
            </w:r>
          </w:p>
        </w:tc>
        <w:tc>
          <w:tcPr>
            <w:tcW w:w="597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1、期次1，说明：按招标文件、投标文件以及国家和行业验收规范要求及合同中的相关条款进行验收。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w:t>
            </w:r>
          </w:p>
        </w:tc>
        <w:tc>
          <w:tcPr>
            <w:tcW w:w="119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合同支付方式</w:t>
            </w:r>
          </w:p>
        </w:tc>
        <w:tc>
          <w:tcPr>
            <w:tcW w:w="5970"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r>
              <w:rPr>
                <w:rFonts w:hint="eastAsia" w:ascii="宋体" w:hAnsi="宋体" w:eastAsia="宋体" w:cs="宋体"/>
                <w:b/>
                <w:color w:val="000000" w:themeColor="text1"/>
                <w:sz w:val="24"/>
                <w:szCs w:val="24"/>
                <w:highlight w:val="none"/>
                <w:lang w:val="en-US" w:eastAsia="zh-CN"/>
                <w14:textFill>
                  <w14:solidFill>
                    <w14:schemeClr w14:val="tx1"/>
                  </w14:solidFill>
                </w14:textFill>
              </w:rPr>
              <w:t>所有设备到货验收合格，中标人提供相应增值税发票，达到付款条件起</w:t>
            </w:r>
            <w:r>
              <w:rPr>
                <w:rFonts w:hint="eastAsia" w:ascii="宋体" w:hAnsi="宋体" w:eastAsia="宋体" w:cs="宋体"/>
                <w:b/>
                <w:color w:val="000000" w:themeColor="text1"/>
                <w:sz w:val="24"/>
                <w:szCs w:val="24"/>
                <w:highlight w:val="none"/>
                <w14:textFill>
                  <w14:solidFill>
                    <w14:schemeClr w14:val="tx1"/>
                  </w14:solidFill>
                </w14:textFill>
              </w:rPr>
              <w:t>30日内，支付合同总金额的</w:t>
            </w:r>
            <w:r>
              <w:rPr>
                <w:rFonts w:hint="eastAsia" w:ascii="宋体" w:hAnsi="宋体" w:eastAsia="宋体" w:cs="宋体"/>
                <w:b/>
                <w:color w:val="000000" w:themeColor="text1"/>
                <w:sz w:val="24"/>
                <w:szCs w:val="24"/>
                <w:highlight w:val="none"/>
                <w:lang w:val="en-US" w:eastAsia="zh-CN"/>
                <w14:textFill>
                  <w14:solidFill>
                    <w14:schemeClr w14:val="tx1"/>
                  </w14:solidFill>
                </w14:textFill>
              </w:rPr>
              <w:t>50</w:t>
            </w:r>
            <w:r>
              <w:rPr>
                <w:rFonts w:hint="eastAsia" w:ascii="宋体" w:hAnsi="宋体" w:eastAsia="宋体" w:cs="宋体"/>
                <w:b/>
                <w:color w:val="000000" w:themeColor="text1"/>
                <w:sz w:val="24"/>
                <w:szCs w:val="24"/>
                <w:highlight w:val="none"/>
                <w14:textFill>
                  <w14:solidFill>
                    <w14:schemeClr w14:val="tx1"/>
                  </w14:solidFill>
                </w14:textFill>
              </w:rPr>
              <w:t>.00%</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项目完工通过初验合格，中标人提供相应增值税发票，达到付款条件起</w:t>
            </w:r>
            <w:r>
              <w:rPr>
                <w:rFonts w:hint="eastAsia" w:ascii="宋体" w:hAnsi="宋体" w:eastAsia="宋体" w:cs="宋体"/>
                <w:b/>
                <w:color w:val="000000" w:themeColor="text1"/>
                <w:sz w:val="24"/>
                <w:szCs w:val="24"/>
                <w:highlight w:val="none"/>
                <w14:textFill>
                  <w14:solidFill>
                    <w14:schemeClr w14:val="tx1"/>
                  </w14:solidFill>
                </w14:textFill>
              </w:rPr>
              <w:t>30日内，支付合同总金额的</w:t>
            </w:r>
            <w:r>
              <w:rPr>
                <w:rFonts w:hint="eastAsia" w:ascii="宋体" w:hAnsi="宋体" w:eastAsia="宋体" w:cs="宋体"/>
                <w:b/>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color w:val="000000" w:themeColor="text1"/>
                <w:sz w:val="24"/>
                <w:szCs w:val="24"/>
                <w:highlight w:val="none"/>
                <w14:textFill>
                  <w14:solidFill>
                    <w14:schemeClr w14:val="tx1"/>
                  </w14:solidFill>
                </w14:textFill>
              </w:rPr>
              <w:t>.00%</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项目完工通过终验合格，中标人提供相应增值税发票，达到付款条件起</w:t>
            </w:r>
            <w:r>
              <w:rPr>
                <w:rFonts w:hint="eastAsia" w:ascii="宋体" w:hAnsi="宋体" w:eastAsia="宋体" w:cs="宋体"/>
                <w:b/>
                <w:color w:val="000000" w:themeColor="text1"/>
                <w:sz w:val="24"/>
                <w:szCs w:val="24"/>
                <w:highlight w:val="none"/>
                <w14:textFill>
                  <w14:solidFill>
                    <w14:schemeClr w14:val="tx1"/>
                  </w14:solidFill>
                </w14:textFill>
              </w:rPr>
              <w:t>30日内，支付合同总金额的</w:t>
            </w:r>
            <w:r>
              <w:rPr>
                <w:rFonts w:hint="eastAsia" w:ascii="宋体" w:hAnsi="宋体" w:eastAsia="宋体" w:cs="宋体"/>
                <w:b/>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color w:val="000000" w:themeColor="text1"/>
                <w:sz w:val="24"/>
                <w:szCs w:val="24"/>
                <w:highlight w:val="none"/>
                <w14:textFill>
                  <w14:solidFill>
                    <w14:schemeClr w14:val="tx1"/>
                  </w14:solidFill>
                </w14:textFill>
              </w:rPr>
              <w:t>.00%</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4、免费售后服务期满一年后，未有质量问题，达到付款条件起</w:t>
            </w:r>
            <w:r>
              <w:rPr>
                <w:rFonts w:hint="eastAsia" w:ascii="宋体" w:hAnsi="宋体" w:eastAsia="宋体" w:cs="宋体"/>
                <w:b/>
                <w:color w:val="000000" w:themeColor="text1"/>
                <w:sz w:val="24"/>
                <w:szCs w:val="24"/>
                <w:highlight w:val="none"/>
                <w14:textFill>
                  <w14:solidFill>
                    <w14:schemeClr w14:val="tx1"/>
                  </w14:solidFill>
                </w14:textFill>
              </w:rPr>
              <w:t>30日内，支付合同总金额的</w:t>
            </w:r>
            <w:r>
              <w:rPr>
                <w:rFonts w:hint="eastAsia" w:ascii="宋体" w:hAnsi="宋体" w:eastAsia="宋体" w:cs="宋体"/>
                <w:b/>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color w:val="000000" w:themeColor="text1"/>
                <w:sz w:val="24"/>
                <w:szCs w:val="24"/>
                <w:highlight w:val="none"/>
                <w14:textFill>
                  <w14:solidFill>
                    <w14:schemeClr w14:val="tx1"/>
                  </w14:solidFill>
                </w14:textFill>
              </w:rPr>
              <w:t>.00%</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5、免费售后服务期满二年后，未有质量问题，达到付款条件起</w:t>
            </w:r>
            <w:r>
              <w:rPr>
                <w:rFonts w:hint="eastAsia" w:ascii="宋体" w:hAnsi="宋体" w:eastAsia="宋体" w:cs="宋体"/>
                <w:b/>
                <w:color w:val="000000" w:themeColor="text1"/>
                <w:sz w:val="24"/>
                <w:szCs w:val="24"/>
                <w:highlight w:val="none"/>
                <w14:textFill>
                  <w14:solidFill>
                    <w14:schemeClr w14:val="tx1"/>
                  </w14:solidFill>
                </w14:textFill>
              </w:rPr>
              <w:t>30日内，支付合同总金额的</w:t>
            </w:r>
            <w:r>
              <w:rPr>
                <w:rFonts w:hint="eastAsia" w:ascii="宋体" w:hAnsi="宋体" w:eastAsia="宋体" w:cs="宋体"/>
                <w:b/>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color w:val="000000" w:themeColor="text1"/>
                <w:sz w:val="24"/>
                <w:szCs w:val="24"/>
                <w:highlight w:val="none"/>
                <w14:textFill>
                  <w14:solidFill>
                    <w14:schemeClr w14:val="tx1"/>
                  </w14:solidFill>
                </w14:textFill>
              </w:rPr>
              <w:t>.00%</w:t>
            </w:r>
          </w:p>
          <w:p>
            <w:pPr>
              <w:pStyle w:val="14"/>
              <w:jc w:val="both"/>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6、免费售后服务期满三年后，未有质量问题，达到付款条件起</w:t>
            </w:r>
            <w:r>
              <w:rPr>
                <w:rFonts w:hint="eastAsia" w:ascii="宋体" w:hAnsi="宋体" w:eastAsia="宋体" w:cs="宋体"/>
                <w:b/>
                <w:color w:val="000000" w:themeColor="text1"/>
                <w:sz w:val="24"/>
                <w:szCs w:val="24"/>
                <w:highlight w:val="none"/>
                <w14:textFill>
                  <w14:solidFill>
                    <w14:schemeClr w14:val="tx1"/>
                  </w14:solidFill>
                </w14:textFill>
              </w:rPr>
              <w:t>30日内，支付合同总金额的</w:t>
            </w:r>
            <w:r>
              <w:rPr>
                <w:rFonts w:hint="eastAsia" w:ascii="宋体" w:hAnsi="宋体" w:eastAsia="宋体" w:cs="宋体"/>
                <w:b/>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color w:val="000000" w:themeColor="text1"/>
                <w:sz w:val="24"/>
                <w:szCs w:val="24"/>
                <w:highlight w:val="none"/>
                <w14:textFill>
                  <w14:solidFill>
                    <w14:schemeClr w14:val="tx1"/>
                  </w14:solidFill>
                </w14:textFill>
              </w:rPr>
              <w:t>.00%</w:t>
            </w:r>
          </w:p>
          <w:p>
            <w:pPr>
              <w:pStyle w:val="14"/>
              <w:jc w:val="both"/>
              <w:rPr>
                <w:rFonts w:hint="eastAsia" w:ascii="宋体" w:hAnsi="宋体" w:eastAsia="宋体" w:cs="宋体"/>
                <w:b/>
                <w:color w:val="000000" w:themeColor="text1"/>
                <w:sz w:val="24"/>
                <w:szCs w:val="24"/>
                <w:highlight w:val="none"/>
                <w:lang w:val="en-US" w:eastAsia="zh-CN"/>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6" w:type="dxa"/>
            <w:vAlign w:val="center"/>
          </w:tcPr>
          <w:p>
            <w:pPr>
              <w:pStyle w:val="14"/>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7</w:t>
            </w:r>
          </w:p>
        </w:tc>
        <w:tc>
          <w:tcPr>
            <w:tcW w:w="1190" w:type="dxa"/>
            <w:vAlign w:val="center"/>
          </w:tcPr>
          <w:p>
            <w:pPr>
              <w:pStyle w:val="14"/>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1480" w:type="dxa"/>
            <w:vAlign w:val="center"/>
          </w:tcPr>
          <w:p>
            <w:pPr>
              <w:pStyle w:val="14"/>
              <w:jc w:val="center"/>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其他</w:t>
            </w:r>
          </w:p>
        </w:tc>
        <w:tc>
          <w:tcPr>
            <w:tcW w:w="5970" w:type="dxa"/>
          </w:tcPr>
          <w:p>
            <w:pPr>
              <w:pStyle w:val="2"/>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u w:val="none"/>
                <w14:textFill>
                  <w14:solidFill>
                    <w14:schemeClr w14:val="tx1"/>
                  </w14:solidFill>
                </w14:textFill>
              </w:rPr>
              <w:t>自合同签订之日起</w:t>
            </w:r>
            <w:r>
              <w:rPr>
                <w:rFonts w:hint="eastAsia" w:ascii="宋体" w:hAnsi="宋体" w:eastAsia="宋体" w:cs="宋体"/>
                <w:b/>
                <w:bCs w:val="0"/>
                <w:color w:val="000000" w:themeColor="text1"/>
                <w:sz w:val="24"/>
                <w:szCs w:val="24"/>
                <w:highlight w:val="none"/>
                <w:u w:val="none"/>
                <w:lang w:val="en-US" w:eastAsia="zh-CN"/>
                <w14:textFill>
                  <w14:solidFill>
                    <w14:schemeClr w14:val="tx1"/>
                  </w14:solidFill>
                </w14:textFill>
              </w:rPr>
              <w:t>60</w:t>
            </w:r>
            <w:r>
              <w:rPr>
                <w:rFonts w:hint="eastAsia" w:ascii="宋体" w:hAnsi="宋体" w:eastAsia="宋体" w:cs="宋体"/>
                <w:b/>
                <w:bCs w:val="0"/>
                <w:color w:val="000000" w:themeColor="text1"/>
                <w:sz w:val="24"/>
                <w:szCs w:val="24"/>
                <w:highlight w:val="none"/>
                <w:u w:val="none"/>
                <w14:textFill>
                  <w14:solidFill>
                    <w14:schemeClr w14:val="tx1"/>
                  </w14:solidFill>
                </w14:textFill>
              </w:rPr>
              <w:t>日</w:t>
            </w:r>
            <w:r>
              <w:rPr>
                <w:rFonts w:hint="eastAsia"/>
                <w:b/>
                <w:bCs w:val="0"/>
                <w:color w:val="000000" w:themeColor="text1"/>
                <w:highlight w:val="none"/>
                <w:u w:val="none"/>
                <w:lang w:val="en-US" w:eastAsia="zh-CN"/>
                <w14:textFill>
                  <w14:solidFill>
                    <w14:schemeClr w14:val="tx1"/>
                  </w14:solidFill>
                </w14:textFill>
              </w:rPr>
              <w:t>内，完成设备安装、集成和省平台系统对接，项目初步验收并进入试运行阶段。2023年 12月20日前完成项目建设竣工验收。本条款和序号1交货时间描述不一致，以此条款为主。</w:t>
            </w:r>
          </w:p>
        </w:tc>
      </w:tr>
    </w:tbl>
    <w:p>
      <w:pPr>
        <w:pStyle w:val="14"/>
        <w:ind w:firstLine="48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履约保证金</w:t>
      </w:r>
    </w:p>
    <w:p>
      <w:pPr>
        <w:pStyle w:val="14"/>
        <w:ind w:firstLine="482" w:firstLineChars="200"/>
        <w:jc w:val="left"/>
        <w:rPr>
          <w:rFonts w:hint="eastAsia" w:ascii="宋体" w:hAnsi="宋体" w:eastAsia="宋体" w:cs="宋体"/>
          <w:b/>
          <w:strike w:val="0"/>
          <w:dstrike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采购包1：</w:t>
      </w:r>
      <w:r>
        <w:rPr>
          <w:rFonts w:hint="eastAsia" w:ascii="宋体" w:hAnsi="宋体" w:eastAsia="宋体" w:cs="宋体"/>
          <w:b/>
          <w:strike w:val="0"/>
          <w:dstrike w:val="0"/>
          <w:color w:val="000000" w:themeColor="text1"/>
          <w:sz w:val="24"/>
          <w:szCs w:val="24"/>
          <w:highlight w:val="none"/>
          <w:lang w:eastAsia="zh-CN"/>
          <w14:textFill>
            <w14:solidFill>
              <w14:schemeClr w14:val="tx1"/>
            </w14:solidFill>
          </w14:textFill>
        </w:rPr>
        <w:t>缴纳</w:t>
      </w:r>
      <w:r>
        <w:rPr>
          <w:rFonts w:hint="eastAsia" w:ascii="宋体" w:hAnsi="宋体" w:eastAsia="宋体" w:cs="宋体"/>
          <w:b/>
          <w:strike w:val="0"/>
          <w:dstrike w:val="0"/>
          <w:color w:val="000000" w:themeColor="text1"/>
          <w:sz w:val="24"/>
          <w:szCs w:val="24"/>
          <w:highlight w:val="none"/>
          <w:lang w:val="en-US" w:eastAsia="zh-CN"/>
          <w14:textFill>
            <w14:solidFill>
              <w14:schemeClr w14:val="tx1"/>
            </w14:solidFill>
          </w14:textFill>
        </w:rPr>
        <w:t>。</w:t>
      </w:r>
    </w:p>
    <w:p>
      <w:pPr>
        <w:pStyle w:val="14"/>
        <w:ind w:firstLine="480"/>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本采购包履约保证金为合同金额的10.0% </w:t>
      </w:r>
    </w:p>
    <w:p>
      <w:pPr>
        <w:pStyle w:val="14"/>
        <w:ind w:firstLine="480"/>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说明：中标人应于中标公告发布之日起7日内向采购人提交中标合同金额的</w:t>
      </w:r>
      <w:r>
        <w:rPr>
          <w:rFonts w:hint="default" w:ascii="宋体" w:hAnsi="宋体" w:eastAsia="宋体" w:cs="宋体"/>
          <w:b/>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作为履约保证金；终验合格后，如无质量缺陷或者服务问题，由中标人提供该款项收据后</w:t>
      </w:r>
      <w:r>
        <w:rPr>
          <w:rFonts w:hint="default" w:ascii="宋体" w:hAnsi="宋体" w:eastAsia="宋体" w:cs="宋体"/>
          <w:b/>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个工作日内全额无息退还。 （履约保证金可以采用支网上银行支付或者金融机构、担保机构出具的保函等非现金形式缴纳）。中标人未在期限内缴纳履约保证金的视为中标人放弃中标，不再签订合同。</w:t>
      </w:r>
    </w:p>
    <w:p>
      <w:pPr>
        <w:pStyle w:val="14"/>
        <w:ind w:firstLine="482" w:firstLineChars="200"/>
        <w:jc w:val="left"/>
        <w:rPr>
          <w:rFonts w:hint="default" w:ascii="宋体" w:hAnsi="宋体" w:eastAsia="宋体" w:cs="宋体"/>
          <w:b/>
          <w:strike w:val="0"/>
          <w:dstrike w:val="0"/>
          <w:color w:val="000000" w:themeColor="text1"/>
          <w:sz w:val="24"/>
          <w:szCs w:val="24"/>
          <w:highlight w:val="none"/>
          <w:lang w:val="en-US" w:eastAsia="zh-CN"/>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其他商务要求</w:t>
      </w:r>
    </w:p>
    <w:p>
      <w:pPr>
        <w:pStyle w:val="8"/>
        <w:keepNext w:val="0"/>
        <w:keepLines w:val="0"/>
        <w:widowControl/>
        <w:numPr>
          <w:ilvl w:val="0"/>
          <w:numId w:val="7"/>
        </w:numPr>
        <w:suppressLineNumbers w:val="0"/>
        <w:shd w:val="clear" w:fill="FFFFFF"/>
        <w:spacing w:before="105" w:beforeAutospacing="0" w:after="105" w:afterAutospacing="0" w:line="360" w:lineRule="auto"/>
        <w:ind w:left="0" w:right="0" w:firstLine="105"/>
        <w:rPr>
          <w:rStyle w:val="13"/>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pPr>
      <w:r>
        <w:rPr>
          <w:rStyle w:val="13"/>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其他要求</w:t>
      </w:r>
    </w:p>
    <w:p>
      <w:pPr>
        <w:pStyle w:val="8"/>
        <w:keepNext w:val="0"/>
        <w:keepLines w:val="0"/>
        <w:widowControl/>
        <w:numPr>
          <w:ilvl w:val="1"/>
          <w:numId w:val="8"/>
        </w:numPr>
        <w:suppressLineNumbers w:val="0"/>
        <w:shd w:val="clear" w:fill="FFFFFF"/>
        <w:spacing w:before="105" w:beforeAutospacing="0" w:after="105" w:afterAutospacing="0" w:line="360" w:lineRule="auto"/>
        <w:ind w:left="105" w:leftChars="0" w:right="0" w:rightChars="0"/>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中标人负责釆购“项目”所需要的全部设备、材料、软件和系统等组成部分（以下简称“货物”），有关“货物”的详细要求按照</w:t>
      </w:r>
      <w:r>
        <w:rPr>
          <w:rFonts w:hint="eastAsia" w:ascii="宋体" w:hAnsi="宋体" w:eastAsia="宋体" w:cs="宋体"/>
          <w:color w:val="000000" w:themeColor="text1"/>
          <w:sz w:val="24"/>
          <w:szCs w:val="24"/>
          <w:highlight w:val="none"/>
          <w:lang w:eastAsia="zh-CN"/>
          <w14:textFill>
            <w14:solidFill>
              <w14:schemeClr w14:val="tx1"/>
            </w14:solidFill>
          </w14:textFill>
        </w:rPr>
        <w:t>招标</w:t>
      </w:r>
      <w:r>
        <w:rPr>
          <w:rFonts w:ascii="宋体" w:hAnsi="宋体" w:eastAsia="宋体" w:cs="宋体"/>
          <w:color w:val="000000" w:themeColor="text1"/>
          <w:sz w:val="24"/>
          <w:szCs w:val="24"/>
          <w:highlight w:val="none"/>
          <w14:textFill>
            <w14:solidFill>
              <w14:schemeClr w14:val="tx1"/>
            </w14:solidFill>
          </w14:textFill>
        </w:rPr>
        <w:t>文件的要求和投标</w:t>
      </w:r>
      <w:r>
        <w:rPr>
          <w:rFonts w:hint="eastAsia" w:ascii="宋体" w:hAnsi="宋体" w:eastAsia="宋体" w:cs="宋体"/>
          <w:color w:val="000000" w:themeColor="text1"/>
          <w:sz w:val="24"/>
          <w:szCs w:val="24"/>
          <w:highlight w:val="none"/>
          <w:lang w:eastAsia="zh-CN"/>
          <w14:textFill>
            <w14:solidFill>
              <w14:schemeClr w14:val="tx1"/>
            </w14:solidFill>
          </w14:textFill>
        </w:rPr>
        <w:t>响应</w:t>
      </w:r>
      <w:r>
        <w:rPr>
          <w:rFonts w:ascii="宋体" w:hAnsi="宋体" w:eastAsia="宋体" w:cs="宋体"/>
          <w:color w:val="000000" w:themeColor="text1"/>
          <w:sz w:val="24"/>
          <w:szCs w:val="24"/>
          <w:highlight w:val="none"/>
          <w14:textFill>
            <w14:solidFill>
              <w14:schemeClr w14:val="tx1"/>
            </w14:solidFill>
          </w14:textFill>
        </w:rPr>
        <w:t xml:space="preserve">文件的承诺执行。 </w:t>
      </w:r>
    </w:p>
    <w:p>
      <w:pPr>
        <w:pStyle w:val="8"/>
        <w:keepNext w:val="0"/>
        <w:keepLines w:val="0"/>
        <w:widowControl/>
        <w:numPr>
          <w:ilvl w:val="1"/>
          <w:numId w:val="8"/>
        </w:numPr>
        <w:suppressLineNumbers w:val="0"/>
        <w:shd w:val="clear" w:fill="FFFFFF"/>
        <w:spacing w:before="105" w:beforeAutospacing="0" w:after="105" w:afterAutospacing="0" w:line="360" w:lineRule="auto"/>
        <w:ind w:left="105" w:leftChars="0" w:right="0" w:rightChars="0" w:firstLine="0" w:firstLineChars="0"/>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中标人应当按照</w:t>
      </w:r>
      <w:r>
        <w:rPr>
          <w:rFonts w:hint="eastAsia" w:ascii="宋体" w:hAnsi="宋体" w:eastAsia="宋体" w:cs="宋体"/>
          <w:color w:val="000000" w:themeColor="text1"/>
          <w:sz w:val="24"/>
          <w:szCs w:val="24"/>
          <w:highlight w:val="none"/>
          <w:lang w:eastAsia="zh-CN"/>
          <w14:textFill>
            <w14:solidFill>
              <w14:schemeClr w14:val="tx1"/>
            </w14:solidFill>
          </w14:textFill>
        </w:rPr>
        <w:t>招标</w:t>
      </w:r>
      <w:r>
        <w:rPr>
          <w:rFonts w:ascii="宋体" w:hAnsi="宋体" w:eastAsia="宋体" w:cs="宋体"/>
          <w:color w:val="000000" w:themeColor="text1"/>
          <w:sz w:val="24"/>
          <w:szCs w:val="24"/>
          <w:highlight w:val="none"/>
          <w14:textFill>
            <w14:solidFill>
              <w14:schemeClr w14:val="tx1"/>
            </w14:solidFill>
          </w14:textFill>
        </w:rPr>
        <w:t>文件的标准和要求釆购“货物"，所有“货物”在验收时需要提供原厂原装证明文件、各原厂商签发的出厂检验报告和质量合格证明、工业生产许可证、安全认证证书，装箱单、技术参数说明、 三年原厂售后保修服务证明、国家、有关行业及管理机关要求的设备入网许可证、产品使用证等。</w:t>
      </w:r>
    </w:p>
    <w:p>
      <w:pPr>
        <w:pStyle w:val="8"/>
        <w:keepNext w:val="0"/>
        <w:keepLines w:val="0"/>
        <w:widowControl/>
        <w:numPr>
          <w:ilvl w:val="1"/>
          <w:numId w:val="8"/>
        </w:numPr>
        <w:suppressLineNumbers w:val="0"/>
        <w:shd w:val="clear" w:fill="FFFFFF"/>
        <w:spacing w:before="105" w:beforeAutospacing="0" w:after="105" w:afterAutospacing="0" w:line="360" w:lineRule="auto"/>
        <w:ind w:left="105" w:leftChars="0" w:right="0" w:rightChars="0" w:firstLine="0" w:firstLineChars="0"/>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所有进口“货物”在验收时需要提供合格证、产地证明、报关材料、海关验关报告，商检报告、增值税发票复印件，装箱单以及技术参数 说明等资料。</w:t>
      </w:r>
    </w:p>
    <w:p>
      <w:pPr>
        <w:pStyle w:val="8"/>
        <w:keepNext w:val="0"/>
        <w:keepLines w:val="0"/>
        <w:widowControl/>
        <w:numPr>
          <w:ilvl w:val="1"/>
          <w:numId w:val="8"/>
        </w:numPr>
        <w:suppressLineNumbers w:val="0"/>
        <w:shd w:val="clear" w:fill="FFFFFF"/>
        <w:spacing w:before="105" w:beforeAutospacing="0" w:after="105" w:afterAutospacing="0" w:line="360" w:lineRule="auto"/>
        <w:ind w:left="105" w:leftChars="0" w:right="0" w:rightChars="0" w:firstLine="0" w:firstLineChars="0"/>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中标人所交付的“货物”必须通过合法渠道购得，且必须是原厂生产并包装的、未使用过的（包括零部件），质量必须符合国家标准或行业标准以及原厂出厂标准（以说明书为准），并对“货物”质量负责。</w:t>
      </w:r>
    </w:p>
    <w:p>
      <w:pPr>
        <w:pStyle w:val="8"/>
        <w:keepNext w:val="0"/>
        <w:keepLines w:val="0"/>
        <w:widowControl/>
        <w:numPr>
          <w:ilvl w:val="0"/>
          <w:numId w:val="0"/>
        </w:numPr>
        <w:suppressLineNumbers w:val="0"/>
        <w:shd w:val="clear" w:fill="FFFFFF"/>
        <w:spacing w:before="105" w:beforeAutospacing="0" w:after="105" w:afterAutospacing="0" w:line="360" w:lineRule="auto"/>
        <w:ind w:left="105" w:leftChars="0" w:right="0" w:right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1.5</w:t>
      </w:r>
      <w:r>
        <w:rPr>
          <w:rFonts w:ascii="宋体" w:hAnsi="宋体" w:eastAsia="宋体" w:cs="宋体"/>
          <w:color w:val="000000" w:themeColor="text1"/>
          <w:sz w:val="24"/>
          <w:szCs w:val="24"/>
          <w:highlight w:val="none"/>
          <w14:textFill>
            <w14:solidFill>
              <w14:schemeClr w14:val="tx1"/>
            </w14:solidFill>
          </w14:textFill>
        </w:rPr>
        <w:t>“合同项目”在履行过程中所需各种工器具、仪表及安装材料等均由中标人负责免费提供。</w:t>
      </w:r>
    </w:p>
    <w:p>
      <w:pPr>
        <w:pStyle w:val="8"/>
        <w:keepNext w:val="0"/>
        <w:keepLines w:val="0"/>
        <w:widowControl/>
        <w:numPr>
          <w:ilvl w:val="0"/>
          <w:numId w:val="0"/>
        </w:numPr>
        <w:suppressLineNumbers w:val="0"/>
        <w:shd w:val="clear" w:fill="FFFFFF"/>
        <w:spacing w:before="105" w:beforeAutospacing="0" w:after="105" w:afterAutospacing="0" w:line="360" w:lineRule="auto"/>
        <w:ind w:left="105" w:leftChars="0" w:right="0" w:rightChars="0"/>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1.6</w:t>
      </w:r>
      <w:r>
        <w:rPr>
          <w:rFonts w:ascii="宋体" w:hAnsi="宋体" w:eastAsia="宋体" w:cs="宋体"/>
          <w:color w:val="000000" w:themeColor="text1"/>
          <w:sz w:val="24"/>
          <w:szCs w:val="24"/>
          <w:highlight w:val="none"/>
          <w14:textFill>
            <w14:solidFill>
              <w14:schemeClr w14:val="tx1"/>
            </w14:solidFill>
          </w14:textFill>
        </w:rPr>
        <w:t>“项目”所使用的各类“货物”，其软、硬件（如接口设备、缆线、软件等） 需根据</w:t>
      </w:r>
      <w:r>
        <w:rPr>
          <w:rFonts w:hint="eastAsia" w:ascii="宋体" w:hAnsi="宋体" w:eastAsia="宋体" w:cs="宋体"/>
          <w:color w:val="000000" w:themeColor="text1"/>
          <w:sz w:val="24"/>
          <w:szCs w:val="24"/>
          <w:highlight w:val="none"/>
          <w:lang w:eastAsia="zh-CN"/>
          <w14:textFill>
            <w14:solidFill>
              <w14:schemeClr w14:val="tx1"/>
            </w14:solidFill>
          </w14:textFill>
        </w:rPr>
        <w:t>招标</w:t>
      </w:r>
      <w:r>
        <w:rPr>
          <w:rFonts w:ascii="宋体" w:hAnsi="宋体" w:eastAsia="宋体" w:cs="宋体"/>
          <w:color w:val="000000" w:themeColor="text1"/>
          <w:sz w:val="24"/>
          <w:szCs w:val="24"/>
          <w:highlight w:val="none"/>
          <w14:textFill>
            <w14:solidFill>
              <w14:schemeClr w14:val="tx1"/>
            </w14:solidFill>
          </w14:textFill>
        </w:rPr>
        <w:t>文件的要求配齐以构成一套实用系统，如果“项目”需要相关系统软件，应由中标人免费提供，如果在供货或系统集成时出现软、硬件的任何遗漏，均必须由中标人无条件免费提供。</w:t>
      </w:r>
    </w:p>
    <w:p>
      <w:pPr>
        <w:pStyle w:val="8"/>
        <w:keepNext w:val="0"/>
        <w:keepLines w:val="0"/>
        <w:widowControl/>
        <w:numPr>
          <w:ilvl w:val="0"/>
          <w:numId w:val="0"/>
        </w:numPr>
        <w:suppressLineNumbers w:val="0"/>
        <w:shd w:val="clear" w:fill="FFFFFF"/>
        <w:spacing w:before="105" w:beforeAutospacing="0" w:after="105" w:afterAutospacing="0" w:line="360" w:lineRule="auto"/>
        <w:ind w:left="105" w:leftChars="0" w:right="0" w:right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1.7中标人不得以任何名义和理由进行转包、分包，如有发现，采购人有权单方终止合同，视中标人违约,中标人还需另行支付相应的赔偿。</w:t>
      </w:r>
    </w:p>
    <w:p>
      <w:pPr>
        <w:pStyle w:val="8"/>
        <w:keepNext w:val="0"/>
        <w:keepLines w:val="0"/>
        <w:widowControl/>
        <w:numPr>
          <w:ilvl w:val="0"/>
          <w:numId w:val="0"/>
        </w:numPr>
        <w:suppressLineNumbers w:val="0"/>
        <w:shd w:val="clear" w:fill="FFFFFF"/>
        <w:spacing w:before="105" w:beforeAutospacing="0" w:after="105" w:afterAutospacing="0" w:line="360" w:lineRule="auto"/>
        <w:ind w:left="105" w:leftChars="0" w:right="0" w:right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1.8投标人须保障采购人在使用该货物或其任何一部分时不受到第三方关于侵犯专 利权、商 标权或工业设 计权等知识产权的指控。如果任何第三方提出侵权指控与采购人无关，投标人须与第三方交涉并承担可能发生的责任与一切费用。如采购人因此而遭致损失的，投标人应赔偿该损失。</w:t>
      </w:r>
    </w:p>
    <w:p>
      <w:pPr>
        <w:pStyle w:val="8"/>
        <w:keepNext w:val="0"/>
        <w:keepLines w:val="0"/>
        <w:widowControl/>
        <w:numPr>
          <w:ilvl w:val="0"/>
          <w:numId w:val="0"/>
        </w:numPr>
        <w:suppressLineNumbers w:val="0"/>
        <w:shd w:val="clear" w:fill="FFFFFF"/>
        <w:spacing w:before="105" w:beforeAutospacing="0" w:after="105" w:afterAutospacing="0" w:line="360" w:lineRule="auto"/>
        <w:ind w:left="105" w:leftChars="0" w:right="0" w:right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1.9投标人须自行踏勘现场以充分了解项目位置﹑装卸施工限制及任何其他足以影响报价的情况，任何因忽视或误解现场情况而导致的变更或交付期延长申请将不被批准。勘察的安全及相关的费用由投标人自行承担。</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Style w:val="13"/>
          <w:rFonts w:hint="eastAsia" w:ascii="宋体" w:hAnsi="宋体" w:eastAsia="宋体" w:cs="宋体"/>
          <w:b/>
          <w:bCs/>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Style w:val="13"/>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、安装调试</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在货物运抵现场一周前，向采购人提供安装进度计划表及需采购人配合的事项。</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负责将货物送到采购人指定地点并负责派技术人员到现场进行安装直至验收合格。</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.3安装施工过程中，应事先通知采购人，经同意后再进行安装。</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在制作、运输、安装、布线及调试过程中，应严格按照国家有关的操作规程和施工规范进行作业，确保安装牢固，安全可靠。</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在制作运输安装过程中，应加强作业现场管理，保持整洁有序，不得破坏环境，否则由</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负全责。</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必须加强制作、运输及安装施工过程中的安全防护，在此过程中，如因</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原因导致的双方及第三方的任何人身、安全事故及财产损失均由</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中标人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负全责。</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strike/>
          <w:dstrike w:val="0"/>
          <w:color w:val="000000" w:themeColor="text1"/>
          <w:spacing w:val="0"/>
          <w:sz w:val="24"/>
          <w:szCs w:val="24"/>
          <w:highlight w:val="none"/>
          <w14:textFill>
            <w14:solidFill>
              <w14:schemeClr w14:val="tx1"/>
            </w14:solidFill>
          </w14:textFill>
        </w:rPr>
      </w:pP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Style w:val="13"/>
          <w:rFonts w:hint="eastAsia" w:ascii="宋体" w:hAnsi="宋体" w:eastAsia="宋体" w:cs="宋体"/>
          <w:b/>
          <w:bCs/>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Style w:val="13"/>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、报价要求</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firstLine="0" w:firstLineChars="0"/>
        <w:jc w:val="left"/>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.1本项目总价总包干，总包干价为包设备、包基础、包安装、包调试、包培训，</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包括货物的价格、运输费、搬运费、安装费、货物运至采购人指定地点后的保管费、质量保修期内的维护费用、调试费、</w:t>
      </w:r>
      <w:r>
        <w:rPr>
          <w:rFonts w:hint="eastAsia" w:ascii="宋体" w:hAnsi="宋体" w:eastAsia="宋体" w:cs="宋体"/>
          <w:b/>
          <w:bCs/>
          <w:i w:val="0"/>
          <w:iCs w:val="0"/>
          <w:caps w:val="0"/>
          <w:color w:val="000000" w:themeColor="text1"/>
          <w:spacing w:val="0"/>
          <w:sz w:val="24"/>
          <w:szCs w:val="24"/>
          <w:highlight w:val="none"/>
          <w:shd w:val="clear" w:fill="FFFFFF"/>
          <w:lang w:val="en-US" w:eastAsia="zh-CN"/>
          <w14:textFill>
            <w14:solidFill>
              <w14:schemeClr w14:val="tx1"/>
            </w14:solidFill>
          </w14:textFill>
        </w:rPr>
        <w:t>设备与省系统平台适配费、对接费、三年质保期间一名驻点人员费用</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、验收费、技术服务费、系统集成及培训费、保险费、检验、税费、专用工具费、备品备件费、招标代理服务费以及所有不可预见的费用等一切与本项目相关的费用。</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（投标人可在分项报价表中详细列出报价，如果所列分项报价不含以上内容，则视为已含在投标总价中）</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.2价格单中的各项内容的报价必须计算正确,并以表格的形式逐项填写。若</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未考虑周全或对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招标文件</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的误解而造成漏项等少计费用将被视为已包括在其他项目中计取，而不再增加。</w:t>
      </w:r>
    </w:p>
    <w:p>
      <w:pPr>
        <w:pStyle w:val="8"/>
        <w:keepNext w:val="0"/>
        <w:keepLines w:val="0"/>
        <w:widowControl/>
        <w:suppressLineNumbers w:val="0"/>
        <w:shd w:val="clear" w:fill="FFFFFF"/>
        <w:spacing w:before="105" w:beforeAutospacing="0" w:after="105" w:afterAutospacing="0" w:line="360" w:lineRule="auto"/>
        <w:ind w:left="0" w:right="0" w:firstLine="105"/>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.3投标报价应充分考虑交货期的政策性调整、各种材料市场价格的浮动等因素造成的货物价格变动，交货期内合同价格不作调整。</w:t>
      </w:r>
    </w:p>
    <w:p>
      <w:pPr>
        <w:keepNext w:val="0"/>
        <w:keepLines w:val="0"/>
        <w:widowControl/>
        <w:suppressLineNumbers w:val="0"/>
        <w:spacing w:line="360" w:lineRule="auto"/>
        <w:ind w:left="0" w:leftChars="0" w:firstLine="0" w:firstLineChars="0"/>
        <w:jc w:val="left"/>
        <w:rPr>
          <w:rFonts w:hint="eastAsia" w:ascii="宋体" w:hAnsi="宋体" w:eastAsia="宋体" w:cs="宋体"/>
          <w:i w:val="0"/>
          <w:iCs w:val="0"/>
          <w:caps w:val="0"/>
          <w:color w:val="000000" w:themeColor="text1"/>
          <w:spacing w:val="0"/>
          <w:kern w:val="0"/>
          <w:sz w:val="24"/>
          <w:szCs w:val="24"/>
          <w:highlight w:val="none"/>
          <w:u w:color="000000"/>
          <w:shd w:val="clear"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u w:color="000000"/>
          <w:shd w:val="clear" w:fill="FFFFFF"/>
          <w:lang w:val="en-US" w:eastAsia="zh-CN" w:bidi="ar"/>
          <w14:textFill>
            <w14:solidFill>
              <w14:schemeClr w14:val="tx1"/>
            </w14:solidFill>
          </w14:textFill>
        </w:rPr>
        <w:t>3.4投标人提供的货物投标价格单位为人民币（元）。</w:t>
      </w:r>
    </w:p>
    <w:p>
      <w:pPr>
        <w:keepNext w:val="0"/>
        <w:keepLines w:val="0"/>
        <w:widowControl/>
        <w:suppressLineNumbers w:val="0"/>
        <w:spacing w:line="360" w:lineRule="auto"/>
        <w:ind w:left="0" w:leftChars="0" w:firstLine="0" w:firstLineChars="0"/>
        <w:jc w:val="left"/>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highlight w:val="none"/>
          <w:u w:color="000000"/>
          <w:shd w:val="clear" w:fill="FFFFFF"/>
          <w:lang w:val="en-US" w:eastAsia="zh-CN" w:bidi="ar"/>
          <w14:textFill>
            <w14:solidFill>
              <w14:schemeClr w14:val="tx1"/>
            </w14:solidFill>
          </w14:textFill>
        </w:rPr>
        <w:t>3.5投标人须根据二、技术和服务要求中的（二）设备分布清单进行分项分库区报价，并放在系统评标中的价格扣除部分和提交的可读介质（光盘或U盘），分项报价须体现库区名称、货物名称、品牌、型号规格、数量、单价、总价等。</w:t>
      </w:r>
    </w:p>
    <w:p>
      <w:pPr>
        <w:keepNext w:val="0"/>
        <w:keepLines w:val="0"/>
        <w:widowControl/>
        <w:numPr>
          <w:ilvl w:val="0"/>
          <w:numId w:val="2"/>
        </w:numPr>
        <w:suppressLineNumbers w:val="0"/>
        <w:spacing w:line="360" w:lineRule="auto"/>
        <w:ind w:left="0" w:leftChars="0" w:firstLine="0" w:firstLineChars="0"/>
        <w:jc w:val="left"/>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验收要求 </w:t>
      </w:r>
    </w:p>
    <w:p>
      <w:pPr>
        <w:pStyle w:val="4"/>
        <w:numPr>
          <w:ilvl w:val="0"/>
          <w:numId w:val="0"/>
        </w:numPr>
        <w:spacing w:line="360" w:lineRule="auto"/>
        <w:ind w:left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4.1</w:t>
      </w:r>
      <w:r>
        <w:rPr>
          <w:rFonts w:ascii="宋体" w:hAnsi="宋体" w:eastAsia="宋体" w:cs="宋体"/>
          <w:b/>
          <w:bCs/>
          <w:color w:val="000000" w:themeColor="text1"/>
          <w:sz w:val="24"/>
          <w:szCs w:val="24"/>
          <w:highlight w:val="none"/>
          <w14:textFill>
            <w14:solidFill>
              <w14:schemeClr w14:val="tx1"/>
            </w14:solidFill>
          </w14:textFill>
        </w:rPr>
        <w:t>到货清点</w:t>
      </w:r>
      <w:r>
        <w:rPr>
          <w:rFonts w:ascii="宋体" w:hAnsi="宋体" w:eastAsia="宋体" w:cs="宋体"/>
          <w:color w:val="000000" w:themeColor="text1"/>
          <w:sz w:val="24"/>
          <w:szCs w:val="24"/>
          <w:highlight w:val="none"/>
          <w14:textFill>
            <w14:solidFill>
              <w14:schemeClr w14:val="tx1"/>
            </w14:solidFill>
          </w14:textFill>
        </w:rPr>
        <w:t>：自硬件设备交付至</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人指定交货地点之日起 3 个工作日内，</w:t>
      </w:r>
      <w:r>
        <w:rPr>
          <w:rFonts w:hint="eastAsia" w:ascii="宋体" w:hAnsi="宋体" w:eastAsia="宋体" w:cs="宋体"/>
          <w:b/>
          <w:bCs/>
          <w:color w:val="000000" w:themeColor="text1"/>
          <w:sz w:val="24"/>
          <w:szCs w:val="24"/>
          <w:highlight w:val="none"/>
          <w:lang w:eastAsia="zh-CN"/>
          <w14:textFill>
            <w14:solidFill>
              <w14:schemeClr w14:val="tx1"/>
            </w14:solidFill>
          </w14:textFill>
        </w:rPr>
        <w:t>分签</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人、中标人、授权监理方、</w:t>
      </w:r>
      <w:r>
        <w:rPr>
          <w:rFonts w:hint="eastAsia" w:ascii="宋体" w:hAnsi="宋体" w:eastAsia="宋体" w:cs="宋体"/>
          <w:color w:val="000000" w:themeColor="text1"/>
          <w:sz w:val="24"/>
          <w:szCs w:val="24"/>
          <w:highlight w:val="none"/>
          <w:lang w:eastAsia="zh-CN"/>
          <w14:textFill>
            <w14:solidFill>
              <w14:schemeClr w14:val="tx1"/>
            </w14:solidFill>
          </w14:textFill>
        </w:rPr>
        <w:t>各中心库或分库</w:t>
      </w:r>
      <w:r>
        <w:rPr>
          <w:rFonts w:ascii="宋体" w:hAnsi="宋体" w:eastAsia="宋体" w:cs="宋体"/>
          <w:color w:val="000000" w:themeColor="text1"/>
          <w:sz w:val="24"/>
          <w:szCs w:val="24"/>
          <w:highlight w:val="none"/>
          <w14:textFill>
            <w14:solidFill>
              <w14:schemeClr w14:val="tx1"/>
            </w14:solidFill>
          </w14:textFill>
        </w:rPr>
        <w:t>负责人员派</w:t>
      </w:r>
      <w:r>
        <w:rPr>
          <w:rFonts w:hint="eastAsia" w:ascii="宋体" w:hAnsi="宋体" w:eastAsia="宋体" w:cs="宋体"/>
          <w:color w:val="000000" w:themeColor="text1"/>
          <w:sz w:val="24"/>
          <w:szCs w:val="24"/>
          <w:highlight w:val="none"/>
          <w:lang w:eastAsia="zh-CN"/>
          <w14:textFill>
            <w14:solidFill>
              <w14:schemeClr w14:val="tx1"/>
            </w14:solidFill>
          </w14:textFill>
        </w:rPr>
        <w:t>人员</w:t>
      </w:r>
      <w:r>
        <w:rPr>
          <w:rFonts w:ascii="宋体" w:hAnsi="宋体" w:eastAsia="宋体" w:cs="宋体"/>
          <w:color w:val="000000" w:themeColor="text1"/>
          <w:sz w:val="24"/>
          <w:szCs w:val="24"/>
          <w:highlight w:val="none"/>
          <w14:textFill>
            <w14:solidFill>
              <w14:schemeClr w14:val="tx1"/>
            </w14:solidFill>
          </w14:textFill>
        </w:rPr>
        <w:t>根据设备清单共同进行开箱清点和检验，签字表明设备的外包装完整、设备表面完好以及设备数量符合要求，</w:t>
      </w:r>
      <w:r>
        <w:rPr>
          <w:rFonts w:hint="eastAsia" w:ascii="宋体" w:hAnsi="宋体" w:eastAsia="宋体" w:cs="宋体"/>
          <w:color w:val="000000" w:themeColor="text1"/>
          <w:sz w:val="24"/>
          <w:szCs w:val="24"/>
          <w:highlight w:val="none"/>
          <w:lang w:eastAsia="zh-CN"/>
          <w14:textFill>
            <w14:solidFill>
              <w14:schemeClr w14:val="tx1"/>
            </w14:solidFill>
          </w14:textFill>
        </w:rPr>
        <w:t>若应适配的设备不在《适配清单》目录内，应当核对适配检测报告。</w:t>
      </w:r>
      <w:r>
        <w:rPr>
          <w:rFonts w:ascii="宋体" w:hAnsi="宋体" w:eastAsia="宋体" w:cs="宋体"/>
          <w:color w:val="000000" w:themeColor="text1"/>
          <w:sz w:val="24"/>
          <w:szCs w:val="24"/>
          <w:highlight w:val="none"/>
          <w14:textFill>
            <w14:solidFill>
              <w14:schemeClr w14:val="tx1"/>
            </w14:solidFill>
          </w14:textFill>
        </w:rPr>
        <w:t>若设备分批次到货的，则每批设备到货后均应进行开箱清点和检验，双方共同在《到货清点单》上签字确认。</w:t>
      </w:r>
    </w:p>
    <w:p>
      <w:pPr>
        <w:pStyle w:val="4"/>
        <w:numPr>
          <w:ilvl w:val="0"/>
          <w:numId w:val="0"/>
        </w:numPr>
        <w:spacing w:line="360" w:lineRule="auto"/>
        <w:ind w:left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4.2</w:t>
      </w:r>
      <w:r>
        <w:rPr>
          <w:rFonts w:ascii="宋体" w:hAnsi="宋体" w:eastAsia="宋体" w:cs="宋体"/>
          <w:b/>
          <w:bCs/>
          <w:color w:val="000000" w:themeColor="text1"/>
          <w:sz w:val="24"/>
          <w:szCs w:val="24"/>
          <w:highlight w:val="none"/>
          <w14:textFill>
            <w14:solidFill>
              <w14:schemeClr w14:val="tx1"/>
            </w14:solidFill>
          </w14:textFill>
        </w:rPr>
        <w:t>库点验收。</w:t>
      </w:r>
      <w:r>
        <w:rPr>
          <w:rFonts w:ascii="宋体" w:hAnsi="宋体" w:eastAsia="宋体" w:cs="宋体"/>
          <w:color w:val="000000" w:themeColor="text1"/>
          <w:sz w:val="24"/>
          <w:szCs w:val="24"/>
          <w:highlight w:val="none"/>
          <w14:textFill>
            <w14:solidFill>
              <w14:schemeClr w14:val="tx1"/>
            </w14:solidFill>
          </w14:textFill>
        </w:rPr>
        <w:t>以单个粮库库点为单位，粮库库点完成硬件设备和软件部署、调试并正常运行并接入省级平台且工程配套完工后，由</w:t>
      </w:r>
      <w:r>
        <w:rPr>
          <w:rFonts w:hint="eastAsia" w:ascii="宋体" w:hAnsi="宋体" w:eastAsia="宋体" w:cs="宋体"/>
          <w:color w:val="000000" w:themeColor="text1"/>
          <w:sz w:val="24"/>
          <w:szCs w:val="24"/>
          <w:highlight w:val="none"/>
          <w14:textFill>
            <w14:solidFill>
              <w14:schemeClr w14:val="tx1"/>
            </w14:solidFill>
          </w14:textFill>
        </w:rPr>
        <w:t>分签</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人统一组织库点验收，验收小组包括</w:t>
      </w:r>
      <w:r>
        <w:rPr>
          <w:rFonts w:hint="eastAsia" w:ascii="宋体" w:hAnsi="宋体" w:eastAsia="宋体" w:cs="宋体"/>
          <w:color w:val="000000" w:themeColor="text1"/>
          <w:sz w:val="24"/>
          <w:szCs w:val="24"/>
          <w:highlight w:val="none"/>
          <w:lang w:eastAsia="zh-CN"/>
          <w14:textFill>
            <w14:solidFill>
              <w14:schemeClr w14:val="tx1"/>
            </w14:solidFill>
          </w14:textFill>
        </w:rPr>
        <w:t>各中心库或分库</w:t>
      </w:r>
      <w:r>
        <w:rPr>
          <w:rFonts w:ascii="宋体" w:hAnsi="宋体" w:eastAsia="宋体" w:cs="宋体"/>
          <w:color w:val="000000" w:themeColor="text1"/>
          <w:sz w:val="24"/>
          <w:szCs w:val="24"/>
          <w:highlight w:val="none"/>
          <w14:textFill>
            <w14:solidFill>
              <w14:schemeClr w14:val="tx1"/>
            </w14:solidFill>
          </w14:textFill>
        </w:rPr>
        <w:t>负责人员、中标人和监理进行验收。粮库库点验收通过后开始试运行。</w:t>
      </w:r>
    </w:p>
    <w:p>
      <w:pPr>
        <w:pStyle w:val="4"/>
        <w:numPr>
          <w:ilvl w:val="0"/>
          <w:numId w:val="0"/>
        </w:numPr>
        <w:spacing w:line="360" w:lineRule="auto"/>
        <w:ind w:left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4.3</w:t>
      </w:r>
      <w:r>
        <w:rPr>
          <w:rFonts w:ascii="宋体" w:hAnsi="宋体" w:eastAsia="宋体" w:cs="宋体"/>
          <w:b/>
          <w:bCs/>
          <w:color w:val="000000" w:themeColor="text1"/>
          <w:sz w:val="24"/>
          <w:szCs w:val="24"/>
          <w:highlight w:val="none"/>
          <w14:textFill>
            <w14:solidFill>
              <w14:schemeClr w14:val="tx1"/>
            </w14:solidFill>
          </w14:textFill>
        </w:rPr>
        <w:t>初步验收</w:t>
      </w:r>
      <w:r>
        <w:rPr>
          <w:rFonts w:ascii="宋体" w:hAnsi="宋体" w:eastAsia="宋体" w:cs="宋体"/>
          <w:color w:val="000000" w:themeColor="text1"/>
          <w:sz w:val="24"/>
          <w:szCs w:val="24"/>
          <w:highlight w:val="none"/>
          <w14:textFill>
            <w14:solidFill>
              <w14:schemeClr w14:val="tx1"/>
            </w14:solidFill>
          </w14:textFill>
        </w:rPr>
        <w:t>。中标人在软硬件和配套工程开发部署完成且具备条件的粮库库点完成库点验收并接入省级平台后，向</w:t>
      </w:r>
      <w:r>
        <w:rPr>
          <w:rFonts w:hint="eastAsia" w:ascii="宋体" w:hAnsi="宋体" w:eastAsia="宋体" w:cs="宋体"/>
          <w:color w:val="000000" w:themeColor="text1"/>
          <w:sz w:val="24"/>
          <w:szCs w:val="24"/>
          <w:highlight w:val="none"/>
          <w14:textFill>
            <w14:solidFill>
              <w14:schemeClr w14:val="tx1"/>
            </w14:solidFill>
          </w14:textFill>
        </w:rPr>
        <w:t>分签</w:t>
      </w:r>
      <w:r>
        <w:rPr>
          <w:rFonts w:hint="eastAsia" w:ascii="宋体" w:hAnsi="宋体" w:eastAsia="宋体" w:cs="宋体"/>
          <w:color w:val="000000" w:themeColor="text1"/>
          <w:sz w:val="24"/>
          <w:szCs w:val="24"/>
          <w:highlight w:val="none"/>
          <w:lang w:eastAsia="zh-CN"/>
          <w14:textFill>
            <w14:solidFill>
              <w14:schemeClr w14:val="tx1"/>
            </w14:solidFill>
          </w14:textFill>
        </w:rPr>
        <w:t>采购人</w:t>
      </w:r>
      <w:r>
        <w:rPr>
          <w:rFonts w:ascii="宋体" w:hAnsi="宋体" w:eastAsia="宋体" w:cs="宋体"/>
          <w:color w:val="000000" w:themeColor="text1"/>
          <w:sz w:val="24"/>
          <w:szCs w:val="24"/>
          <w:highlight w:val="none"/>
          <w14:textFill>
            <w14:solidFill>
              <w14:schemeClr w14:val="tx1"/>
            </w14:solidFill>
          </w14:textFill>
        </w:rPr>
        <w:t>提出初步验收申请，由</w:t>
      </w:r>
      <w:r>
        <w:rPr>
          <w:rFonts w:hint="eastAsia" w:ascii="宋体" w:hAnsi="宋体" w:eastAsia="宋体" w:cs="宋体"/>
          <w:color w:val="000000" w:themeColor="text1"/>
          <w:sz w:val="24"/>
          <w:szCs w:val="24"/>
          <w:highlight w:val="none"/>
          <w14:textFill>
            <w14:solidFill>
              <w14:schemeClr w14:val="tx1"/>
            </w14:solidFill>
          </w14:textFill>
        </w:rPr>
        <w:t>分签</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人统一组织验收，验收小组包括</w:t>
      </w:r>
      <w:r>
        <w:rPr>
          <w:rFonts w:hint="eastAsia" w:ascii="宋体" w:hAnsi="宋体" w:eastAsia="宋体" w:cs="宋体"/>
          <w:b/>
          <w:bCs/>
          <w:color w:val="000000" w:themeColor="text1"/>
          <w:sz w:val="24"/>
          <w:szCs w:val="24"/>
          <w:highlight w:val="none"/>
          <w:lang w:eastAsia="zh-CN"/>
          <w14:textFill>
            <w14:solidFill>
              <w14:schemeClr w14:val="tx1"/>
            </w14:solidFill>
          </w14:textFill>
        </w:rPr>
        <w:t>分签</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w:t>
      </w:r>
      <w:r>
        <w:rPr>
          <w:rFonts w:hint="eastAsia" w:ascii="宋体" w:hAnsi="宋体" w:eastAsia="宋体" w:cs="宋体"/>
          <w:color w:val="000000" w:themeColor="text1"/>
          <w:sz w:val="24"/>
          <w:szCs w:val="24"/>
          <w:highlight w:val="none"/>
          <w:lang w:eastAsia="zh-CN"/>
          <w14:textFill>
            <w14:solidFill>
              <w14:schemeClr w14:val="tx1"/>
            </w14:solidFill>
          </w14:textFill>
        </w:rPr>
        <w:t>各中心库或分库</w:t>
      </w:r>
      <w:r>
        <w:rPr>
          <w:rFonts w:ascii="宋体" w:hAnsi="宋体" w:eastAsia="宋体" w:cs="宋体"/>
          <w:color w:val="000000" w:themeColor="text1"/>
          <w:sz w:val="24"/>
          <w:szCs w:val="24"/>
          <w:highlight w:val="none"/>
          <w14:textFill>
            <w14:solidFill>
              <w14:schemeClr w14:val="tx1"/>
            </w14:solidFill>
          </w14:textFill>
        </w:rPr>
        <w:t>负责人员、中标人和授权监理方。</w:t>
      </w:r>
      <w:r>
        <w:rPr>
          <w:rFonts w:hint="eastAsia" w:ascii="宋体" w:hAnsi="宋体" w:eastAsia="宋体" w:cs="宋体"/>
          <w:color w:val="000000" w:themeColor="text1"/>
          <w:sz w:val="24"/>
          <w:szCs w:val="24"/>
          <w:highlight w:val="none"/>
          <w:lang w:eastAsia="zh-CN"/>
          <w14:textFill>
            <w14:solidFill>
              <w14:schemeClr w14:val="tx1"/>
            </w14:solidFill>
          </w14:textFill>
        </w:rPr>
        <w:t>中标人应在合同签订之日</w:t>
      </w:r>
      <w:r>
        <w:rPr>
          <w:rFonts w:hint="eastAsia" w:ascii="宋体" w:hAnsi="宋体" w:eastAsia="宋体" w:cs="宋体"/>
          <w:color w:val="000000" w:themeColor="text1"/>
          <w:sz w:val="24"/>
          <w:szCs w:val="24"/>
          <w:highlight w:val="none"/>
          <w:lang w:val="en-US" w:eastAsia="zh-CN"/>
          <w14:textFill>
            <w14:solidFill>
              <w14:schemeClr w14:val="tx1"/>
            </w14:solidFill>
          </w14:textFill>
        </w:rPr>
        <w:t>60日内完成初步验收。</w:t>
      </w:r>
      <w:r>
        <w:rPr>
          <w:rFonts w:ascii="宋体" w:hAnsi="宋体" w:eastAsia="宋体" w:cs="宋体"/>
          <w:color w:val="000000" w:themeColor="text1"/>
          <w:sz w:val="24"/>
          <w:szCs w:val="24"/>
          <w:highlight w:val="none"/>
          <w14:textFill>
            <w14:solidFill>
              <w14:schemeClr w14:val="tx1"/>
            </w14:solidFill>
          </w14:textFill>
        </w:rPr>
        <w:t>初步验收合格后，进入试运行阶段。</w:t>
      </w:r>
    </w:p>
    <w:p>
      <w:pPr>
        <w:pStyle w:val="4"/>
        <w:numPr>
          <w:ilvl w:val="0"/>
          <w:numId w:val="0"/>
        </w:numPr>
        <w:spacing w:line="360" w:lineRule="auto"/>
        <w:ind w:leftChars="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4.4</w:t>
      </w:r>
      <w:r>
        <w:rPr>
          <w:rFonts w:ascii="宋体" w:hAnsi="宋体" w:eastAsia="宋体" w:cs="宋体"/>
          <w:b/>
          <w:bCs/>
          <w:color w:val="000000" w:themeColor="text1"/>
          <w:sz w:val="24"/>
          <w:szCs w:val="24"/>
          <w:highlight w:val="none"/>
          <w14:textFill>
            <w14:solidFill>
              <w14:schemeClr w14:val="tx1"/>
            </w14:solidFill>
          </w14:textFill>
        </w:rPr>
        <w:t>项目竣工验收</w:t>
      </w:r>
      <w:r>
        <w:rPr>
          <w:rFonts w:hint="eastAsia" w:ascii="宋体" w:hAnsi="宋体" w:eastAsia="宋体" w:cs="宋体"/>
          <w:b/>
          <w:bCs/>
          <w:color w:val="000000" w:themeColor="text1"/>
          <w:sz w:val="24"/>
          <w:szCs w:val="24"/>
          <w:highlight w:val="none"/>
          <w:lang w:eastAsia="zh-CN"/>
          <w14:textFill>
            <w14:solidFill>
              <w14:schemeClr w14:val="tx1"/>
            </w14:solidFill>
          </w14:textFill>
        </w:rPr>
        <w:t>（终验）</w:t>
      </w:r>
      <w:r>
        <w:rPr>
          <w:rFonts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试运行期间，中标人应配合第三方测评机构完成测试，如需整改，应整改到位，直至第三方测评机构出具测评报告。</w:t>
      </w:r>
      <w:r>
        <w:rPr>
          <w:rFonts w:ascii="宋体" w:hAnsi="宋体" w:eastAsia="宋体" w:cs="宋体"/>
          <w:color w:val="000000" w:themeColor="text1"/>
          <w:sz w:val="24"/>
          <w:szCs w:val="24"/>
          <w:highlight w:val="none"/>
          <w14:textFill>
            <w14:solidFill>
              <w14:schemeClr w14:val="tx1"/>
            </w14:solidFill>
          </w14:textFill>
        </w:rPr>
        <w:t>中标人在试运行期满合格后，且具备条件的所有粮库库点全部接入省级平台，中标人应向</w:t>
      </w:r>
      <w:r>
        <w:rPr>
          <w:rFonts w:hint="eastAsia" w:ascii="宋体" w:hAnsi="宋体" w:eastAsia="宋体" w:cs="宋体"/>
          <w:color w:val="000000" w:themeColor="text1"/>
          <w:sz w:val="24"/>
          <w:szCs w:val="24"/>
          <w:highlight w:val="none"/>
          <w14:textFill>
            <w14:solidFill>
              <w14:schemeClr w14:val="tx1"/>
            </w14:solidFill>
          </w14:textFill>
        </w:rPr>
        <w:t>分签</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人提交</w:t>
      </w:r>
      <w:r>
        <w:rPr>
          <w:rFonts w:hint="eastAsia" w:ascii="宋体" w:hAnsi="宋体" w:eastAsia="宋体" w:cs="宋体"/>
          <w:color w:val="000000" w:themeColor="text1"/>
          <w:sz w:val="24"/>
          <w:szCs w:val="24"/>
          <w:highlight w:val="none"/>
          <w:lang w:eastAsia="zh-CN"/>
          <w14:textFill>
            <w14:solidFill>
              <w14:schemeClr w14:val="tx1"/>
            </w14:solidFill>
          </w14:textFill>
        </w:rPr>
        <w:t>一个月无故障</w:t>
      </w:r>
      <w:r>
        <w:rPr>
          <w:rFonts w:ascii="宋体" w:hAnsi="宋体" w:eastAsia="宋体" w:cs="宋体"/>
          <w:color w:val="000000" w:themeColor="text1"/>
          <w:sz w:val="24"/>
          <w:szCs w:val="24"/>
          <w:highlight w:val="none"/>
          <w14:textFill>
            <w14:solidFill>
              <w14:schemeClr w14:val="tx1"/>
            </w14:solidFill>
          </w14:textFill>
        </w:rPr>
        <w:t>试运行记录，并提出竣工验收申请</w:t>
      </w:r>
      <w:r>
        <w:rPr>
          <w:rFonts w:hint="eastAsia" w:ascii="宋体" w:hAnsi="宋体" w:eastAsia="宋体" w:cs="宋体"/>
          <w:color w:val="000000" w:themeColor="text1"/>
          <w:sz w:val="24"/>
          <w:szCs w:val="24"/>
          <w:highlight w:val="none"/>
          <w14:textFill>
            <w14:solidFill>
              <w14:schemeClr w14:val="tx1"/>
            </w14:solidFill>
          </w14:textFill>
        </w:rPr>
        <w:t>，由</w:t>
      </w:r>
      <w:r>
        <w:rPr>
          <w:rFonts w:hint="eastAsia" w:ascii="宋体" w:hAnsi="宋体" w:eastAsia="宋体" w:cs="宋体"/>
          <w:color w:val="000000" w:themeColor="text1"/>
          <w:sz w:val="24"/>
          <w:szCs w:val="24"/>
          <w:highlight w:val="none"/>
          <w:lang w:eastAsia="zh-CN"/>
          <w14:textFill>
            <w14:solidFill>
              <w14:schemeClr w14:val="tx1"/>
            </w14:solidFill>
          </w14:textFill>
        </w:rPr>
        <w:t>分签</w:t>
      </w:r>
      <w:r>
        <w:rPr>
          <w:rFonts w:ascii="宋体" w:hAnsi="宋体" w:eastAsia="宋体" w:cs="宋体"/>
          <w:color w:val="000000" w:themeColor="text1"/>
          <w:sz w:val="24"/>
          <w:szCs w:val="24"/>
          <w:highlight w:val="none"/>
          <w14:textFill>
            <w14:solidFill>
              <w14:schemeClr w14:val="tx1"/>
            </w14:solidFill>
          </w14:textFill>
        </w:rPr>
        <w:t>采购人组织专家进行验收。若项目竣工验收未能通过，则中标人应就验收过程中出现的问题和原因进行排查，待问题全部解决后重新申请竣工验收。</w:t>
      </w:r>
      <w:r>
        <w:rPr>
          <w:rFonts w:hint="eastAsia" w:ascii="宋体" w:hAnsi="宋体" w:eastAsia="宋体" w:cs="宋体"/>
          <w:color w:val="000000" w:themeColor="text1"/>
          <w:sz w:val="24"/>
          <w:szCs w:val="24"/>
          <w:highlight w:val="none"/>
          <w:lang w:eastAsia="zh-CN"/>
          <w14:textFill>
            <w14:solidFill>
              <w14:schemeClr w14:val="tx1"/>
            </w14:solidFill>
          </w14:textFill>
        </w:rPr>
        <w:t>中标人应在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2023年12月20日前完成竣工验收合格。</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4.5项目验收资料包括但不限于以下内容：</w:t>
      </w: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①总结资料：项目概要；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②项目立项审核资料：立项审核申请、项目建设方案、区信息化主管部门批复文件；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③项目变更资料：项目变更申请、项目变更审批文件；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④项目经费资料：预算、预算、经费使用情况表。</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⑤合同资料：招标书、投标书、合同文件；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⑥项目施工资料：项目开工报告、项目实施报告、项目竣工报告、材料与设备清单、项目实施质量与安全检查记录、项目竣工图纸、售后服务保证文件、项目自检报告；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⑦项目试运行资料：用户试用报告或用户意见书；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⑧非信息应用系统相关文档：用户手册、用户培训计划、培训文档等；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⑨信息应用系统相关文档：需求说明书、概要设计说明书、详细设计说明书、数据库设计说明书、测试计划、测试报告、用户手册、项目计划书、用户培训计划、会议记录和开发进度月报；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⑩项目监理报告。 </w:t>
      </w:r>
    </w:p>
    <w:p>
      <w:pPr>
        <w:keepNext w:val="0"/>
        <w:keepLines w:val="0"/>
        <w:widowControl/>
        <w:suppressLineNumbers w:val="0"/>
        <w:spacing w:line="360" w:lineRule="auto"/>
        <w:ind w:left="0" w:leftChars="0" w:firstLine="0" w:firstLineChars="0"/>
        <w:jc w:val="left"/>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注：（1）总结资料、项目立项审核资料、项目变更资料、项目经费资料、合同资料、项目施工资料、项目监理报告为所有项目必须齐备的材料，项目施工资料的内容根据项目具体情况进行选择（用户试用报告为必备），非信息应用系统相关文档和信息应用系统相关文档根据项目所属类型进行选择。</w:t>
      </w:r>
    </w:p>
    <w:p>
      <w:pPr>
        <w:keepNext w:val="0"/>
        <w:keepLines w:val="0"/>
        <w:widowControl/>
        <w:suppressLineNumbers w:val="0"/>
        <w:spacing w:line="360" w:lineRule="auto"/>
        <w:ind w:left="0" w:leftChars="0" w:firstLine="0" w:firstLineChars="0"/>
        <w:jc w:val="left"/>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（2）验收文档一式四份，原件两份、复印件两份，采购单位留存的为整体项目的验收文档，各县（市、区）13个粮食中心储备库（含3个分库和11个代储点）留存的为本区域的验收文档。</w:t>
      </w:r>
    </w:p>
    <w:p>
      <w:pPr>
        <w:keepNext w:val="0"/>
        <w:keepLines w:val="0"/>
        <w:widowControl/>
        <w:suppressLineNumbers w:val="0"/>
        <w:spacing w:line="360" w:lineRule="auto"/>
        <w:ind w:left="0" w:leftChars="0" w:firstLine="0" w:firstLineChars="0"/>
        <w:jc w:val="left"/>
        <w:rPr>
          <w:rFonts w:hint="default"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4.6验收过程产生的一切费用由中标人承担。</w:t>
      </w:r>
    </w:p>
    <w:p>
      <w:pPr>
        <w:keepNext w:val="0"/>
        <w:keepLines w:val="0"/>
        <w:widowControl/>
        <w:suppressLineNumbers w:val="0"/>
        <w:spacing w:line="360" w:lineRule="auto"/>
        <w:ind w:left="0" w:leftChars="0" w:firstLine="0" w:firstLineChars="0"/>
        <w:jc w:val="left"/>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5、培训</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5.1培训时间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培训开始时间在系统上线试运行期间执行，将与采购人事先沟通确认培训内容及根据采购人要求，或在所安装系统和设备能正常工作后向用户提交设备和工程相关施工资料以后，即开始各系统、核心设备培训。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5.2培训方式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培训为现场培训或异地培训（供方远程培训）。本着方便最终应用部门、面向实战的原则，将系统业务、系统操作等主要培训均在现场进行。各中心库及分库均需安排人员进行针对性的培训。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培训采取基础理论集中培训和安装、调试和维护现场培训相结合的方式，使系统应用人员在掌握一定理论知识的基础上具备真正的实战能力。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5.3人员培训计划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（1）信息技术培训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信息技术培训分为基础知识培训和专业知识培训两种，培训对象分别为项目管理人员和专业技术人员。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基础知识培训包括网络知识、智慧粮库知识等。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专业知识培训包括项目设备技术指标、设备安装调试和使用、维护和故障排查等。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（2）系统操作培训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本项目涉及多个智能化系统，除管理员外，各岗位的工作人员需要熟悉使用，因此，需要对相应工作人员进行培训，包括：设备开关机、使用操作、简单问题或故障处理等。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（3）培训对象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①管理人员和技术骨干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由于领导者的有效管理及正确决策是保证系统顺利实施和运行，因此对管理人员及技术骨干的培训提出更高的要求，施工单位应安排管理人员及技术骨干到进行集中专项培训，使他们提高管理水平，学习成功经验，掌握相关行业的最新技术动态和方向。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②系统维护人员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系统维护人员是指对项目中的设备进行管理和维护的人员。这部分人员经过培训，主要能达到以下目标：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1）掌握系统的初始化和主要参数的设定方法；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2）对一般性故障进行诊断、定位和排除；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3）掌握系统故障后的恢复方法；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4）熟练查阅各种系统操作和维护手册；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5）指导一般操作人员的工作。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 xml:space="preserve">（4）培训形式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为了使培训达到最佳效果，使用户获得尽可能多的知识和经验，施工单位应采用多种途径对用户进行培训：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授课：</w:t>
      </w: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由专业资深的教师，在现场对用户进行培训。通常由课堂讲授和现场操作讲授组成，通常由用户的使用手册支持，适当的操作为辅助。 </w:t>
      </w:r>
    </w:p>
    <w:p>
      <w:pPr>
        <w:keepNext w:val="0"/>
        <w:keepLines w:val="0"/>
        <w:widowControl/>
        <w:suppressLineNumbers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现场指导：</w:t>
      </w: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 xml:space="preserve">在项目执行过程中，施工单位的工程师在实际操作中，要详细讲解操作步骤，指导建设单位相关人员操作，并解答他们提出的问题。 </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6、售后服务</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6.1</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本项目所有设备提供三年保修（国家或厂家对设备或配件另有约定更长保修期限的从其约定），质保期从项目终验合格之日起计算，各类设备及系统配套软件在质保期内免费升级。</w:t>
      </w: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中标人根据用户指 定的地点现场免费安装、验收中标产品。设备出现同一故障发生二次以上的质量问题，采购人则有权要求免费更换整机，更换的质量保证期从更换之日起相应顺延。</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6.2质保期内硬件设备一旦出现故障，中标人响应并到达现场时间≤2小时，中标人提供服务级别为每周7天、每天24小时服务，重大活动保障期间，一般故障修复时间不大于1小时，有疑难故障时由中标人负责调动厂商和相关技术支持限时到达现场解决故障。</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6.3提供本项目各相关系统及网络专线故障排查和修复服务。如48小时内不能排除故障（关键设备24小时内），中标人应负责提供替代设备，其费用由中标人承担。质量保证期内非因操作不当造成需要更换的零配件及设备由中标单位负责包修、包换。保修期后出现故障，只收取基本维护费用,须24小时内响应,提供终身维修服务。</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6.4因设备故障代为维修的设备，中标人需提供7*24小时上门取机服务，设备维修完成后提供上门安装服务。</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6.5服务期间，通过远程技术支持无法解决的系统故障，中标人应及时提出有效的解决方案并加以实施，包括远程故障排查和现场问题解决。</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6.6质保期满前1个月内中标人应负责对设备进行一次免费全面检查，如发现潜在问题，应负责排除，保证设备正常运行。</w:t>
      </w:r>
    </w:p>
    <w:p>
      <w:pPr>
        <w:pStyle w:val="8"/>
        <w:keepNext w:val="0"/>
        <w:keepLines w:val="0"/>
        <w:widowControl/>
        <w:suppressLineNumbers w:val="0"/>
        <w:spacing w:after="15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6.7本项目在三年售后服务期间须安排一名运维工程师</w:t>
      </w:r>
      <w:r>
        <w:rPr>
          <w:rFonts w:hint="eastAsia" w:ascii="宋体" w:hAnsi="宋体" w:eastAsia="宋体" w:cs="宋体"/>
          <w:b/>
          <w:color w:val="000000" w:themeColor="text1"/>
          <w:sz w:val="24"/>
          <w:szCs w:val="24"/>
          <w:highlight w:val="none"/>
          <w14:textFill>
            <w14:solidFill>
              <w14:schemeClr w14:val="tx1"/>
            </w14:solidFill>
          </w14:textFill>
        </w:rPr>
        <w:t>（电子</w:t>
      </w:r>
      <w:r>
        <w:rPr>
          <w:rFonts w:hint="eastAsia" w:ascii="宋体" w:hAnsi="宋体" w:eastAsia="宋体" w:cs="宋体"/>
          <w:b/>
          <w:color w:val="000000" w:themeColor="text1"/>
          <w:sz w:val="24"/>
          <w:szCs w:val="24"/>
          <w:highlight w:val="none"/>
          <w:lang w:eastAsia="zh-CN"/>
          <w14:textFill>
            <w14:solidFill>
              <w14:schemeClr w14:val="tx1"/>
            </w14:solidFill>
          </w14:textFill>
        </w:rPr>
        <w:t>或</w:t>
      </w:r>
      <w:r>
        <w:rPr>
          <w:rFonts w:hint="eastAsia" w:ascii="宋体" w:hAnsi="宋体" w:eastAsia="宋体" w:cs="宋体"/>
          <w:b/>
          <w:color w:val="000000" w:themeColor="text1"/>
          <w:sz w:val="24"/>
          <w:szCs w:val="24"/>
          <w:highlight w:val="none"/>
          <w14:textFill>
            <w14:solidFill>
              <w14:schemeClr w14:val="tx1"/>
            </w14:solidFill>
          </w14:textFill>
        </w:rPr>
        <w:t>智能化</w:t>
      </w:r>
      <w:r>
        <w:rPr>
          <w:rFonts w:hint="eastAsia" w:ascii="宋体" w:hAnsi="宋体" w:eastAsia="宋体" w:cs="宋体"/>
          <w:b/>
          <w:color w:val="000000" w:themeColor="text1"/>
          <w:sz w:val="24"/>
          <w:szCs w:val="24"/>
          <w:highlight w:val="none"/>
          <w:lang w:eastAsia="zh-CN"/>
          <w14:textFill>
            <w14:solidFill>
              <w14:schemeClr w14:val="tx1"/>
            </w14:solidFill>
          </w14:textFill>
        </w:rPr>
        <w:t>或</w:t>
      </w:r>
      <w:r>
        <w:rPr>
          <w:rFonts w:hint="eastAsia" w:ascii="宋体" w:hAnsi="宋体" w:eastAsia="宋体" w:cs="宋体"/>
          <w:b/>
          <w:color w:val="000000" w:themeColor="text1"/>
          <w:sz w:val="24"/>
          <w:szCs w:val="24"/>
          <w:highlight w:val="none"/>
          <w14:textFill>
            <w14:solidFill>
              <w14:schemeClr w14:val="tx1"/>
            </w14:solidFill>
          </w14:textFill>
        </w:rPr>
        <w:t>计算机</w:t>
      </w:r>
      <w:r>
        <w:rPr>
          <w:rFonts w:hint="eastAsia" w:ascii="宋体" w:hAnsi="宋体" w:eastAsia="宋体" w:cs="宋体"/>
          <w:b/>
          <w:color w:val="000000" w:themeColor="text1"/>
          <w:sz w:val="24"/>
          <w:szCs w:val="24"/>
          <w:highlight w:val="none"/>
          <w:lang w:eastAsia="zh-CN"/>
          <w14:textFill>
            <w14:solidFill>
              <w14:schemeClr w14:val="tx1"/>
            </w14:solidFill>
          </w14:textFill>
        </w:rPr>
        <w:t>或</w:t>
      </w:r>
      <w:r>
        <w:rPr>
          <w:rFonts w:hint="eastAsia" w:ascii="宋体" w:hAnsi="宋体" w:eastAsia="宋体" w:cs="宋体"/>
          <w:b/>
          <w:color w:val="000000" w:themeColor="text1"/>
          <w:sz w:val="24"/>
          <w:szCs w:val="24"/>
          <w:highlight w:val="none"/>
          <w14:textFill>
            <w14:solidFill>
              <w14:schemeClr w14:val="tx1"/>
            </w14:solidFill>
          </w14:textFill>
        </w:rPr>
        <w:t>信息化等相关专业）</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驻点采购方提供产品运维巡检、使用辅助、故障排查、安全事件监控等服务，项目执行期间不得随意调整任何人员，如确有特殊情况需要变动人员，须经采购人书面同意方可调整，且其接替人员的资格、业绩和信誉不得低于被替换人员。（如出现未经采购人同意私自调离人员，采购方有权对中标人进行处罚 （出现壹次扣除中标金额 1‰，出现5次（含5次）采购方将自动解除合同并要求中标方承担相应的损失）</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kern w:val="0"/>
          <w:sz w:val="24"/>
          <w:szCs w:val="24"/>
          <w:highlight w:val="none"/>
          <w:u w:color="000000"/>
          <w:lang w:val="en-US" w:eastAsia="zh-CN" w:bidi="ar"/>
          <w14:textFill>
            <w14:solidFill>
              <w14:schemeClr w14:val="tx1"/>
            </w14:solidFill>
          </w14:textFill>
        </w:rPr>
        <w:t>投标人须针对本项做专项承诺（格式自拟），未提供承诺视为未实质性响应招标要求，无效投标处理。</w:t>
      </w:r>
    </w:p>
    <w:p>
      <w:pPr>
        <w:pStyle w:val="8"/>
        <w:keepNext w:val="0"/>
        <w:keepLines w:val="0"/>
        <w:widowControl/>
        <w:suppressLineNumbers w:val="0"/>
        <w:spacing w:before="60" w:beforeAutospacing="0" w:after="60" w:afterAutospacing="0" w:line="360" w:lineRule="auto"/>
        <w:ind w:left="0" w:leftChars="0" w:firstLine="0" w:firstLineChars="0"/>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u w:color="000000"/>
          <w:lang w:val="en-US" w:eastAsia="zh-CN" w:bidi="ar"/>
          <w14:textFill>
            <w14:solidFill>
              <w14:schemeClr w14:val="tx1"/>
            </w14:solidFill>
          </w14:textFill>
        </w:rPr>
        <w:t>6.8各投标人可视自身能力在投标文件中提供更优、更合理的质保期和售 后服务承诺。</w:t>
      </w:r>
    </w:p>
    <w:p>
      <w:pPr>
        <w:pStyle w:val="14"/>
        <w:spacing w:line="360" w:lineRule="auto"/>
        <w:jc w:val="left"/>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bCs w:val="0"/>
          <w:color w:val="000000" w:themeColor="text1"/>
          <w:sz w:val="24"/>
          <w:szCs w:val="24"/>
          <w:highlight w:val="none"/>
          <w14:textFill>
            <w14:solidFill>
              <w14:schemeClr w14:val="tx1"/>
            </w14:solidFill>
          </w14:textFill>
        </w:rPr>
        <w:t>技术资料要求</w:t>
      </w:r>
    </w:p>
    <w:p>
      <w:pPr>
        <w:pStyle w:val="14"/>
        <w:spacing w:line="360" w:lineRule="auto"/>
        <w:jc w:val="left"/>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中标人提供完整的技术资料2套，包括：产品验收标准（含产品合格证验收清单等）、技术说明书；使用说明书；设备安装调试资料、维修线路原理图及其维修资料、出厂检验合格报告、合格证书、装箱单、零部件目录；备品备件易耗件清单及合同中要求的其他文件资料。</w:t>
      </w:r>
    </w:p>
    <w:p>
      <w:pPr>
        <w:pStyle w:val="14"/>
        <w:numPr>
          <w:ilvl w:val="0"/>
          <w:numId w:val="0"/>
        </w:numPr>
        <w:spacing w:line="360" w:lineRule="auto"/>
        <w:ind w:leftChars="0"/>
        <w:jc w:val="left"/>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8、</w:t>
      </w:r>
      <w:r>
        <w:rPr>
          <w:rFonts w:ascii="宋体" w:hAnsi="宋体" w:eastAsia="宋体" w:cs="宋体"/>
          <w:b/>
          <w:bCs/>
          <w:color w:val="000000" w:themeColor="text1"/>
          <w:sz w:val="24"/>
          <w:szCs w:val="24"/>
          <w:highlight w:val="none"/>
          <w14:textFill>
            <w14:solidFill>
              <w14:schemeClr w14:val="tx1"/>
            </w14:solidFill>
          </w14:textFill>
        </w:rPr>
        <w:t xml:space="preserve">项目建设安全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8.1</w:t>
      </w:r>
      <w:r>
        <w:rPr>
          <w:rFonts w:ascii="宋体" w:hAnsi="宋体" w:eastAsia="宋体" w:cs="宋体"/>
          <w:color w:val="000000" w:themeColor="text1"/>
          <w:sz w:val="24"/>
          <w:szCs w:val="24"/>
          <w:highlight w:val="none"/>
          <w14:textFill>
            <w14:solidFill>
              <w14:schemeClr w14:val="tx1"/>
            </w14:solidFill>
          </w14:textFill>
        </w:rPr>
        <w:t xml:space="preserve">项目建设安全 </w:t>
      </w:r>
    </w:p>
    <w:p>
      <w:pPr>
        <w:pStyle w:val="14"/>
        <w:numPr>
          <w:ilvl w:val="0"/>
          <w:numId w:val="0"/>
        </w:numPr>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 xml:space="preserve">中标人在履行合同过程中应当严格遵守国家安全建设规范，安全操作规程，防火安全规定和环境保护规定，做到文明施工并严格遵守有关纪律、制度。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 xml:space="preserve">项目建设安全由中标人负责，中标人应当承担由此产生的一切责任与损失。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中标人应对其在项目建设场地的工作人员进行安全教育，并应对其履行合同所雇佣的全部人员的工伤事故承担责任。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中标人应严格按照国家安全标准制定安全操作规则，配备必要的安全和劳动保护设施，并制定有关应对灾害、事故和突发事件的紧急预案， 报送</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 xml:space="preserve">人备案。中标人还应按预案做好安全检查，严格按照安全标准组织项目建设，釆取必要的安全防护措施，切实保护好有关人员的人身和财产安全。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 xml:space="preserve">安全作业环境及安全措施所需费用应遵守有关规定，并包括在相关工作的合同包预算中。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 xml:space="preserve">由于中标人原因在项目建设现场内及其毗邻地带造成的第三者人员伤亡和财产损失以及其他安全事故的，中标人应当承担由此产生的一切责任与损失。 </w:t>
      </w:r>
    </w:p>
    <w:p>
      <w:pPr>
        <w:pStyle w:val="14"/>
        <w:numPr>
          <w:ilvl w:val="0"/>
          <w:numId w:val="0"/>
        </w:numPr>
        <w:spacing w:line="360" w:lineRule="auto"/>
        <w:ind w:leftChars="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合同履行过程中发生重大伤亡及其他安全事故，中标人应立即通知</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人，并应立即组织人员和设备进行紧急抢救和抢修，减少人员伤亡和财产损失，防止事故扩大，并保护事故现场。需要移动现场物品时，应作出标记和书面记录, 妥善保管有关证据。中标人还应按国家有关规定，及时如实地向有关部门报告事故发生的情况</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 xml:space="preserve">双方对事故责任有争议时，应按政府有关部门的认定处理。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8.2</w:t>
      </w:r>
      <w:r>
        <w:rPr>
          <w:rFonts w:ascii="宋体" w:hAnsi="宋体" w:eastAsia="宋体" w:cs="宋体"/>
          <w:color w:val="000000" w:themeColor="text1"/>
          <w:sz w:val="24"/>
          <w:szCs w:val="24"/>
          <w:highlight w:val="none"/>
          <w14:textFill>
            <w14:solidFill>
              <w14:schemeClr w14:val="tx1"/>
            </w14:solidFill>
          </w14:textFill>
        </w:rPr>
        <w:t xml:space="preserve"> 项目建设现场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xml:space="preserve">（1）中标人应当遵守国家或地方政府及有关部门对建设现场管理的规定， 妥善保护好建设现场，并确保设备管线等不受损坏，并做好建设现场保卫和垃圾消纳等工作，处理好由于项目建设带来的扰民问题及周围单位（住户）的关系， 否则，中标人应当承担由此产生的全部责任、损失与后果。 </w:t>
      </w:r>
    </w:p>
    <w:p>
      <w:pPr>
        <w:pStyle w:val="14"/>
        <w:numPr>
          <w:ilvl w:val="0"/>
          <w:numId w:val="0"/>
        </w:numPr>
        <w:spacing w:line="360" w:lineRule="auto"/>
        <w:ind w:leftChars="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（2）项目建设过程中，未经</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 xml:space="preserve">人同意或有关部门批准，中标人不得随意拆改原建筑物结构及各种设备管线，否则，发生的损失或事故（包括罚 款），由中标人自行负责并承担损失。 </w:t>
      </w:r>
    </w:p>
    <w:p>
      <w:pPr>
        <w:pStyle w:val="14"/>
        <w:numPr>
          <w:ilvl w:val="0"/>
          <w:numId w:val="0"/>
        </w:numPr>
        <w:spacing w:line="360" w:lineRule="auto"/>
        <w:ind w:leftChars="0"/>
        <w:jc w:val="left"/>
        <w:rPr>
          <w:rFonts w:hint="default" w:ascii="宋体" w:hAnsi="宋体" w:eastAsia="宋体" w:cs="宋体"/>
          <w:b w:val="0"/>
          <w:bCs/>
          <w:color w:val="000000" w:themeColor="text1"/>
          <w:sz w:val="24"/>
          <w:szCs w:val="24"/>
          <w:highlight w:val="none"/>
          <w:lang w:val="en-US"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（3）项目完工但未移交</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ascii="宋体" w:hAnsi="宋体" w:eastAsia="宋体" w:cs="宋体"/>
          <w:color w:val="000000" w:themeColor="text1"/>
          <w:sz w:val="24"/>
          <w:szCs w:val="24"/>
          <w:highlight w:val="none"/>
          <w14:textFill>
            <w14:solidFill>
              <w14:schemeClr w14:val="tx1"/>
            </w14:solidFill>
          </w14:textFill>
        </w:rPr>
        <w:t>人之前，中标人应负责对项目建设现场的一切设施和物品进行保护，并妥善保护招标人提供的设备及现场堆放的家具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陈设和物品，如造成损失，应照价赔偿。</w:t>
      </w:r>
    </w:p>
    <w:p>
      <w:pPr>
        <w:pStyle w:val="14"/>
        <w:spacing w:line="360" w:lineRule="auto"/>
        <w:jc w:val="left"/>
        <w:rPr>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9、</w:t>
      </w:r>
      <w:r>
        <w:rPr>
          <w:rFonts w:ascii="宋体" w:hAnsi="宋体" w:eastAsia="宋体" w:cs="宋体"/>
          <w:b/>
          <w:color w:val="000000" w:themeColor="text1"/>
          <w:sz w:val="24"/>
          <w:szCs w:val="24"/>
          <w:highlight w:val="none"/>
          <w14:textFill>
            <w14:solidFill>
              <w14:schemeClr w14:val="tx1"/>
            </w14:solidFill>
          </w14:textFill>
        </w:rPr>
        <w:t>违约责任</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w:t>
      </w:r>
      <w:r>
        <w:rPr>
          <w:rFonts w:ascii="宋体" w:hAnsi="宋体" w:eastAsia="宋体" w:cs="宋体"/>
          <w:b w:val="0"/>
          <w:bCs/>
          <w:color w:val="000000" w:themeColor="text1"/>
          <w:sz w:val="24"/>
          <w:szCs w:val="24"/>
          <w:highlight w:val="none"/>
          <w14:textFill>
            <w14:solidFill>
              <w14:schemeClr w14:val="tx1"/>
            </w14:solidFill>
          </w14:textFill>
        </w:rPr>
        <w:t>.1因</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原因造成采购合同无法按时签订的，视为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违约并没收</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的投标保证金，</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需按合同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总价</w:t>
      </w:r>
      <w:r>
        <w:rPr>
          <w:rFonts w:ascii="宋体" w:hAnsi="宋体" w:eastAsia="宋体" w:cs="宋体"/>
          <w:b w:val="0"/>
          <w:bCs/>
          <w:color w:val="000000" w:themeColor="text1"/>
          <w:sz w:val="24"/>
          <w:szCs w:val="24"/>
          <w:highlight w:val="none"/>
          <w14:textFill>
            <w14:solidFill>
              <w14:schemeClr w14:val="tx1"/>
            </w14:solidFill>
          </w14:textFill>
        </w:rPr>
        <w:t>的</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ascii="宋体" w:hAnsi="宋体" w:eastAsia="宋体" w:cs="宋体"/>
          <w:b w:val="0"/>
          <w:bCs/>
          <w:color w:val="000000" w:themeColor="text1"/>
          <w:sz w:val="24"/>
          <w:szCs w:val="24"/>
          <w:highlight w:val="none"/>
          <w14:textFill>
            <w14:solidFill>
              <w14:schemeClr w14:val="tx1"/>
            </w14:solidFill>
          </w14:textFill>
        </w:rPr>
        <w:t>0%偿付给采购人违约金。</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w:t>
      </w:r>
      <w:r>
        <w:rPr>
          <w:rFonts w:ascii="宋体" w:hAnsi="宋体" w:eastAsia="宋体" w:cs="宋体"/>
          <w:b w:val="0"/>
          <w:bCs/>
          <w:color w:val="000000" w:themeColor="text1"/>
          <w:sz w:val="24"/>
          <w:szCs w:val="24"/>
          <w:highlight w:val="none"/>
          <w14:textFill>
            <w14:solidFill>
              <w14:schemeClr w14:val="tx1"/>
            </w14:solidFill>
          </w14:textFill>
        </w:rPr>
        <w:t>.2在签订采购合同之后，有下列情形之一的，将视为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违约，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采购人直接没收中标人履约保证金，并</w:t>
      </w:r>
      <w:r>
        <w:rPr>
          <w:rFonts w:ascii="宋体" w:hAnsi="宋体" w:eastAsia="宋体" w:cs="宋体"/>
          <w:b w:val="0"/>
          <w:bCs/>
          <w:color w:val="000000" w:themeColor="text1"/>
          <w:sz w:val="24"/>
          <w:szCs w:val="24"/>
          <w:highlight w:val="none"/>
          <w14:textFill>
            <w14:solidFill>
              <w14:schemeClr w14:val="tx1"/>
            </w14:solidFill>
          </w14:textFill>
        </w:rPr>
        <w:t>可进一步提出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以下</w:t>
      </w:r>
      <w:r>
        <w:rPr>
          <w:rFonts w:ascii="宋体" w:hAnsi="宋体" w:eastAsia="宋体" w:cs="宋体"/>
          <w:b w:val="0"/>
          <w:bCs/>
          <w:color w:val="000000" w:themeColor="text1"/>
          <w:sz w:val="24"/>
          <w:szCs w:val="24"/>
          <w:highlight w:val="none"/>
          <w14:textFill>
            <w14:solidFill>
              <w14:schemeClr w14:val="tx1"/>
            </w14:solidFill>
          </w14:textFill>
        </w:rPr>
        <w:t>索赔：</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提供的产品实际情况与投标文件响应不符，或未按合同规定的质量要求交货的，</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或未达到省里规定的适配要求，</w:t>
      </w:r>
      <w:r>
        <w:rPr>
          <w:rFonts w:ascii="宋体" w:hAnsi="宋体" w:eastAsia="宋体" w:cs="宋体"/>
          <w:b w:val="0"/>
          <w:bCs/>
          <w:color w:val="000000" w:themeColor="text1"/>
          <w:sz w:val="24"/>
          <w:szCs w:val="24"/>
          <w:highlight w:val="none"/>
          <w14:textFill>
            <w14:solidFill>
              <w14:schemeClr w14:val="tx1"/>
            </w14:solidFill>
          </w14:textFill>
        </w:rPr>
        <w:t>采购人有权拒收，由此造成的直接损失和间接损失由</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赔偿；</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提供的产品不是原装正品或来源渠道不合法、不合规，不能享受原厂或原厂认可的售后维修机构售后服务的</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ascii="宋体" w:hAnsi="宋体" w:eastAsia="宋体" w:cs="宋体"/>
          <w:b w:val="0"/>
          <w:bCs/>
          <w:color w:val="000000" w:themeColor="text1"/>
          <w:sz w:val="24"/>
          <w:szCs w:val="24"/>
          <w:highlight w:val="none"/>
          <w14:textFill>
            <w14:solidFill>
              <w14:schemeClr w14:val="tx1"/>
            </w14:solidFill>
          </w14:textFill>
        </w:rPr>
        <w:t>采购人有权拒收，由此造成的直接损失和间接损失由</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赔偿；</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ascii="宋体" w:hAnsi="宋体" w:eastAsia="宋体" w:cs="宋体"/>
          <w:b w:val="0"/>
          <w:bCs/>
          <w:color w:val="000000" w:themeColor="text1"/>
          <w:sz w:val="24"/>
          <w:szCs w:val="24"/>
          <w:highlight w:val="none"/>
          <w14:textFill>
            <w14:solidFill>
              <w14:schemeClr w14:val="tx1"/>
            </w14:solidFill>
          </w14:textFill>
        </w:rPr>
        <w:t>合同签订生效后</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未</w:t>
      </w:r>
      <w:r>
        <w:rPr>
          <w:rFonts w:ascii="宋体" w:hAnsi="宋体" w:eastAsia="宋体" w:cs="宋体"/>
          <w:b w:val="0"/>
          <w:bCs/>
          <w:color w:val="000000" w:themeColor="text1"/>
          <w:sz w:val="24"/>
          <w:szCs w:val="24"/>
          <w:highlight w:val="none"/>
          <w14:textFill>
            <w14:solidFill>
              <w14:schemeClr w14:val="tx1"/>
            </w14:solidFill>
          </w14:textFill>
        </w:rPr>
        <w:t>按合同规定时间内完成初验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或终验，</w:t>
      </w:r>
      <w:r>
        <w:rPr>
          <w:rFonts w:ascii="宋体" w:hAnsi="宋体" w:eastAsia="宋体" w:cs="宋体"/>
          <w:b w:val="0"/>
          <w:bCs/>
          <w:color w:val="000000" w:themeColor="text1"/>
          <w:sz w:val="24"/>
          <w:szCs w:val="24"/>
          <w:highlight w:val="none"/>
          <w14:textFill>
            <w14:solidFill>
              <w14:schemeClr w14:val="tx1"/>
            </w14:solidFill>
          </w14:textFill>
        </w:rPr>
        <w:t>延期7天以内（含7天），</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每日</w:t>
      </w:r>
      <w:r>
        <w:rPr>
          <w:rFonts w:ascii="宋体" w:hAnsi="宋体" w:eastAsia="宋体" w:cs="宋体"/>
          <w:b w:val="0"/>
          <w:bCs/>
          <w:color w:val="000000" w:themeColor="text1"/>
          <w:sz w:val="24"/>
          <w:szCs w:val="24"/>
          <w:highlight w:val="none"/>
          <w14:textFill>
            <w14:solidFill>
              <w14:schemeClr w14:val="tx1"/>
            </w14:solidFill>
          </w14:textFill>
        </w:rPr>
        <w:t>按合同总金额的</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0.3</w:t>
      </w:r>
      <w:r>
        <w:rPr>
          <w:rFonts w:ascii="宋体" w:hAnsi="宋体" w:eastAsia="宋体" w:cs="宋体"/>
          <w:b w:val="0"/>
          <w:bCs/>
          <w:color w:val="000000" w:themeColor="text1"/>
          <w:sz w:val="24"/>
          <w:szCs w:val="24"/>
          <w:highlight w:val="none"/>
          <w14:textFill>
            <w14:solidFill>
              <w14:schemeClr w14:val="tx1"/>
            </w14:solidFill>
          </w14:textFill>
        </w:rPr>
        <w:t>%支付逾期违约金；延期8-15天（含15天），</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每日</w:t>
      </w:r>
      <w:r>
        <w:rPr>
          <w:rFonts w:ascii="宋体" w:hAnsi="宋体" w:eastAsia="宋体" w:cs="宋体"/>
          <w:b w:val="0"/>
          <w:bCs/>
          <w:color w:val="000000" w:themeColor="text1"/>
          <w:sz w:val="24"/>
          <w:szCs w:val="24"/>
          <w:highlight w:val="none"/>
          <w14:textFill>
            <w14:solidFill>
              <w14:schemeClr w14:val="tx1"/>
            </w14:solidFill>
          </w14:textFill>
        </w:rPr>
        <w:t>按合同总金额的</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0.5</w:t>
      </w:r>
      <w:r>
        <w:rPr>
          <w:rFonts w:ascii="宋体" w:hAnsi="宋体" w:eastAsia="宋体" w:cs="宋体"/>
          <w:b w:val="0"/>
          <w:bCs/>
          <w:color w:val="000000" w:themeColor="text1"/>
          <w:sz w:val="24"/>
          <w:szCs w:val="24"/>
          <w:highlight w:val="none"/>
          <w14:textFill>
            <w14:solidFill>
              <w14:schemeClr w14:val="tx1"/>
            </w14:solidFill>
          </w14:textFill>
        </w:rPr>
        <w:t>%支付逾期违约金</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ascii="宋体" w:hAnsi="宋体" w:eastAsia="宋体" w:cs="宋体"/>
          <w:b w:val="0"/>
          <w:bCs/>
          <w:strike w:val="0"/>
          <w:dstrike w:val="0"/>
          <w:color w:val="000000" w:themeColor="text1"/>
          <w:sz w:val="24"/>
          <w:szCs w:val="24"/>
          <w:highlight w:val="none"/>
          <w14:textFill>
            <w14:solidFill>
              <w14:schemeClr w14:val="tx1"/>
            </w14:solidFill>
          </w14:textFill>
        </w:rPr>
        <w:t>延期超过</w:t>
      </w:r>
      <w:r>
        <w:rPr>
          <w:rFonts w:hint="eastAsia" w:ascii="宋体" w:hAnsi="宋体" w:eastAsia="宋体" w:cs="宋体"/>
          <w:b w:val="0"/>
          <w:bCs/>
          <w:strike w:val="0"/>
          <w:dstrike w:val="0"/>
          <w:color w:val="000000" w:themeColor="text1"/>
          <w:sz w:val="24"/>
          <w:szCs w:val="24"/>
          <w:highlight w:val="none"/>
          <w:lang w:val="en-US" w:eastAsia="zh-CN"/>
          <w14:textFill>
            <w14:solidFill>
              <w14:schemeClr w14:val="tx1"/>
            </w14:solidFill>
          </w14:textFill>
        </w:rPr>
        <w:t>15</w:t>
      </w:r>
      <w:r>
        <w:rPr>
          <w:rFonts w:ascii="宋体" w:hAnsi="宋体" w:eastAsia="宋体" w:cs="宋体"/>
          <w:b w:val="0"/>
          <w:bCs/>
          <w:strike w:val="0"/>
          <w:dstrike w:val="0"/>
          <w:color w:val="000000" w:themeColor="text1"/>
          <w:sz w:val="24"/>
          <w:szCs w:val="24"/>
          <w:highlight w:val="none"/>
          <w14:textFill>
            <w14:solidFill>
              <w14:schemeClr w14:val="tx1"/>
            </w14:solidFill>
          </w14:textFill>
        </w:rPr>
        <w:t>天，</w:t>
      </w:r>
      <w:r>
        <w:rPr>
          <w:rFonts w:ascii="宋体" w:hAnsi="宋体" w:eastAsia="宋体" w:cs="宋体"/>
          <w:b w:val="0"/>
          <w:bCs/>
          <w:color w:val="000000" w:themeColor="text1"/>
          <w:sz w:val="24"/>
          <w:szCs w:val="24"/>
          <w:highlight w:val="none"/>
          <w14:textFill>
            <w14:solidFill>
              <w14:schemeClr w14:val="tx1"/>
            </w14:solidFill>
          </w14:textFill>
        </w:rPr>
        <w:t>除</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每日</w:t>
      </w:r>
      <w:r>
        <w:rPr>
          <w:rFonts w:ascii="宋体" w:hAnsi="宋体" w:eastAsia="宋体" w:cs="宋体"/>
          <w:b w:val="0"/>
          <w:bCs/>
          <w:color w:val="000000" w:themeColor="text1"/>
          <w:sz w:val="24"/>
          <w:szCs w:val="24"/>
          <w:highlight w:val="none"/>
          <w14:textFill>
            <w14:solidFill>
              <w14:schemeClr w14:val="tx1"/>
            </w14:solidFill>
          </w14:textFill>
        </w:rPr>
        <w:t>按合同总金额的</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0.5</w:t>
      </w:r>
      <w:r>
        <w:rPr>
          <w:rFonts w:ascii="宋体" w:hAnsi="宋体" w:eastAsia="宋体" w:cs="宋体"/>
          <w:b w:val="0"/>
          <w:bCs/>
          <w:color w:val="000000" w:themeColor="text1"/>
          <w:sz w:val="24"/>
          <w:szCs w:val="24"/>
          <w:highlight w:val="none"/>
          <w14:textFill>
            <w14:solidFill>
              <w14:schemeClr w14:val="tx1"/>
            </w14:solidFill>
          </w14:textFill>
        </w:rPr>
        <w:t>%支付逾期违约金外，采购人有权解除合同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，中标人应按</w:t>
      </w:r>
      <w:r>
        <w:rPr>
          <w:rFonts w:ascii="宋体" w:hAnsi="宋体" w:eastAsia="宋体" w:cs="宋体"/>
          <w:b w:val="0"/>
          <w:bCs/>
          <w:color w:val="000000" w:themeColor="text1"/>
          <w:sz w:val="24"/>
          <w:szCs w:val="24"/>
          <w:highlight w:val="none"/>
          <w14:textFill>
            <w14:solidFill>
              <w14:schemeClr w14:val="tx1"/>
            </w14:solidFill>
          </w14:textFill>
        </w:rPr>
        <w:t>合同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总价</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20%赔付采购人违约金</w:t>
      </w:r>
      <w:r>
        <w:rPr>
          <w:rFonts w:ascii="宋体" w:hAnsi="宋体" w:eastAsia="宋体" w:cs="宋体"/>
          <w:b w:val="0"/>
          <w:bCs/>
          <w:color w:val="000000" w:themeColor="text1"/>
          <w:sz w:val="24"/>
          <w:szCs w:val="24"/>
          <w:highlight w:val="none"/>
          <w14:textFill>
            <w14:solidFill>
              <w14:schemeClr w14:val="tx1"/>
            </w14:solidFill>
          </w14:textFill>
        </w:rPr>
        <w:t>。</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ascii="宋体" w:hAnsi="宋体" w:eastAsia="宋体" w:cs="宋体"/>
          <w:b w:val="0"/>
          <w:bCs/>
          <w:color w:val="000000" w:themeColor="text1"/>
          <w:sz w:val="24"/>
          <w:szCs w:val="24"/>
          <w:highlight w:val="none"/>
          <w14:textFill>
            <w14:solidFill>
              <w14:schemeClr w14:val="tx1"/>
            </w14:solidFill>
          </w14:textFill>
        </w:rPr>
        <w:t>系统实施期间，如</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达不到上述技术服务要求，在接到采购人书面告知或监理通知单后</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，在要求的时限内</w:t>
      </w:r>
      <w:r>
        <w:rPr>
          <w:rFonts w:ascii="宋体" w:hAnsi="宋体" w:eastAsia="宋体" w:cs="宋体"/>
          <w:b w:val="0"/>
          <w:bCs/>
          <w:color w:val="000000" w:themeColor="text1"/>
          <w:sz w:val="24"/>
          <w:szCs w:val="24"/>
          <w:highlight w:val="none"/>
          <w14:textFill>
            <w14:solidFill>
              <w14:schemeClr w14:val="tx1"/>
            </w14:solidFill>
          </w14:textFill>
        </w:rPr>
        <w:t>未及时解决的，每延误1天将扣罚合同金额的0.0</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ascii="宋体" w:hAnsi="宋体" w:eastAsia="宋体" w:cs="宋体"/>
          <w:b w:val="0"/>
          <w:bCs/>
          <w:color w:val="000000" w:themeColor="text1"/>
          <w:sz w:val="24"/>
          <w:szCs w:val="24"/>
          <w:highlight w:val="none"/>
          <w14:textFill>
            <w14:solidFill>
              <w14:schemeClr w14:val="tx1"/>
            </w14:solidFill>
          </w14:textFill>
        </w:rPr>
        <w:t>%，累计超期</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w:t>
      </w:r>
      <w:r>
        <w:rPr>
          <w:rFonts w:ascii="宋体" w:hAnsi="宋体" w:eastAsia="宋体" w:cs="宋体"/>
          <w:b w:val="0"/>
          <w:bCs/>
          <w:color w:val="000000" w:themeColor="text1"/>
          <w:sz w:val="24"/>
          <w:szCs w:val="24"/>
          <w:highlight w:val="none"/>
          <w14:textFill>
            <w14:solidFill>
              <w14:schemeClr w14:val="tx1"/>
            </w14:solidFill>
          </w14:textFill>
        </w:rPr>
        <w:t>天，采购人有权解除合同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，中标人应按</w:t>
      </w:r>
      <w:r>
        <w:rPr>
          <w:rFonts w:ascii="宋体" w:hAnsi="宋体" w:eastAsia="宋体" w:cs="宋体"/>
          <w:b w:val="0"/>
          <w:bCs/>
          <w:color w:val="000000" w:themeColor="text1"/>
          <w:sz w:val="24"/>
          <w:szCs w:val="24"/>
          <w:highlight w:val="none"/>
          <w14:textFill>
            <w14:solidFill>
              <w14:schemeClr w14:val="tx1"/>
            </w14:solidFill>
          </w14:textFill>
        </w:rPr>
        <w:t>合同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总价</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20%赔付采购人违约金</w:t>
      </w:r>
      <w:r>
        <w:rPr>
          <w:rFonts w:ascii="宋体" w:hAnsi="宋体" w:eastAsia="宋体" w:cs="宋体"/>
          <w:b w:val="0"/>
          <w:bCs/>
          <w:color w:val="000000" w:themeColor="text1"/>
          <w:sz w:val="24"/>
          <w:szCs w:val="24"/>
          <w:highlight w:val="none"/>
          <w14:textFill>
            <w14:solidFill>
              <w14:schemeClr w14:val="tx1"/>
            </w14:solidFill>
          </w14:textFill>
        </w:rPr>
        <w:t>。</w:t>
      </w:r>
    </w:p>
    <w:p>
      <w:pPr>
        <w:pStyle w:val="14"/>
        <w:spacing w:line="360" w:lineRule="auto"/>
        <w:jc w:val="left"/>
        <w:rPr>
          <w:rFonts w:hint="eastAsia" w:eastAsia="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ascii="宋体" w:hAnsi="宋体" w:eastAsia="宋体" w:cs="宋体"/>
          <w:b w:val="0"/>
          <w:bCs/>
          <w:color w:val="000000" w:themeColor="text1"/>
          <w:sz w:val="24"/>
          <w:szCs w:val="24"/>
          <w:highlight w:val="none"/>
          <w14:textFill>
            <w14:solidFill>
              <w14:schemeClr w14:val="tx1"/>
            </w14:solidFill>
          </w14:textFill>
        </w:rPr>
        <w:t>在签订采购合同之后，</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要求解除合同的</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，中标人应按</w:t>
      </w:r>
      <w:r>
        <w:rPr>
          <w:rFonts w:ascii="宋体" w:hAnsi="宋体" w:eastAsia="宋体" w:cs="宋体"/>
          <w:b w:val="0"/>
          <w:bCs/>
          <w:color w:val="000000" w:themeColor="text1"/>
          <w:sz w:val="24"/>
          <w:szCs w:val="24"/>
          <w:highlight w:val="none"/>
          <w14:textFill>
            <w14:solidFill>
              <w14:schemeClr w14:val="tx1"/>
            </w14:solidFill>
          </w14:textFill>
        </w:rPr>
        <w:t>合同</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总价</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30%赔付采购人违约金</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9.3</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履行售后服务不符合合同约定</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的</w:t>
      </w:r>
      <w:r>
        <w:rPr>
          <w:rFonts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中标人接到采购人通知，未在要求期限内完成售后服务，每延误一天按合同总价的</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0.03%支付罚金，超过3日的，采购人有权聘请其他人员进行维修，维修费用由中标人承担。</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w:t>
      </w:r>
      <w:r>
        <w:rPr>
          <w:rFonts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r>
        <w:rPr>
          <w:rFonts w:ascii="宋体" w:hAnsi="宋体" w:eastAsia="宋体" w:cs="宋体"/>
          <w:b w:val="0"/>
          <w:bCs/>
          <w:color w:val="000000" w:themeColor="text1"/>
          <w:sz w:val="24"/>
          <w:szCs w:val="24"/>
          <w:highlight w:val="none"/>
          <w14:textFill>
            <w14:solidFill>
              <w14:schemeClr w14:val="tx1"/>
            </w14:solidFill>
          </w14:textFill>
        </w:rPr>
        <w:t>在合同期内，</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所提供的数据如发生安全问题，</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中标人应在</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2日内处理完毕，造成采购人损失由中标人承担。</w:t>
      </w:r>
    </w:p>
    <w:p>
      <w:pPr>
        <w:pStyle w:val="14"/>
        <w:spacing w:line="360" w:lineRule="auto"/>
        <w:jc w:val="left"/>
        <w:rPr>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w:t>
      </w:r>
      <w:r>
        <w:rPr>
          <w:rFonts w:ascii="宋体" w:hAnsi="宋体" w:eastAsia="宋体" w:cs="宋体"/>
          <w:b w:val="0"/>
          <w:bCs/>
          <w:color w:val="000000" w:themeColor="text1"/>
          <w:sz w:val="24"/>
          <w:szCs w:val="24"/>
          <w:highlight w:val="none"/>
          <w14:textFill>
            <w14:solidFill>
              <w14:schemeClr w14:val="tx1"/>
            </w14:solidFill>
          </w14:textFill>
        </w:rPr>
        <w:t>本招标文件未明确的其它约定事项或条款，待采购人与</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中标人</w:t>
      </w:r>
      <w:r>
        <w:rPr>
          <w:rFonts w:ascii="宋体" w:hAnsi="宋体" w:eastAsia="宋体" w:cs="宋体"/>
          <w:b w:val="0"/>
          <w:bCs/>
          <w:color w:val="000000" w:themeColor="text1"/>
          <w:sz w:val="24"/>
          <w:szCs w:val="24"/>
          <w:highlight w:val="none"/>
          <w14:textFill>
            <w14:solidFill>
              <w14:schemeClr w14:val="tx1"/>
            </w14:solidFill>
          </w14:textFill>
        </w:rPr>
        <w:t>签订合同时，由双方协商订立。</w:t>
      </w:r>
    </w:p>
    <w:p>
      <w:pPr>
        <w:pStyle w:val="14"/>
        <w:jc w:val="both"/>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jc w:val="both"/>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ind w:firstLine="480"/>
        <w:jc w:val="both"/>
        <w:outlineLvl w:val="2"/>
        <w:rPr>
          <w:rFonts w:hint="eastAsia" w:ascii="宋体" w:hAnsi="宋体" w:eastAsia="宋体" w:cs="宋体"/>
          <w:b/>
          <w:color w:val="000000" w:themeColor="text1"/>
          <w:sz w:val="24"/>
          <w:szCs w:val="24"/>
          <w:highlight w:val="none"/>
          <w14:textFill>
            <w14:solidFill>
              <w14:schemeClr w14:val="tx1"/>
            </w14:solidFill>
          </w14:textFill>
        </w:rPr>
      </w:pPr>
    </w:p>
    <w:p>
      <w:pPr>
        <w:pStyle w:val="14"/>
        <w:ind w:firstLine="480"/>
        <w:jc w:val="both"/>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四、其他事项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1、除招标文件另有规定外，若出现有关法律、法规和规章有强制性规定但招标文件未列明的情形，则投标人应按照有关法律、法规和规章强制性规定执行。</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2、其他：</w:t>
      </w:r>
    </w:p>
    <w:p>
      <w:pPr>
        <w:pStyle w:val="14"/>
        <w:ind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若中标人原因造成合同无法签订的，自合同签订期限届满之日或中标人明确不予签订合同之日，采购人可按中标候选人名单排序，确定下一候选人为中标人。</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center"/>
        <w:outlineLvl w:val="1"/>
        <w:rPr>
          <w:rFonts w:hint="eastAsia" w:ascii="宋体" w:hAnsi="宋体" w:eastAsia="宋体" w:cs="宋体"/>
          <w:b/>
          <w:color w:val="000000" w:themeColor="text1"/>
          <w:sz w:val="24"/>
          <w:szCs w:val="24"/>
          <w:highlight w:val="none"/>
          <w14:textFill>
            <w14:solidFill>
              <w14:schemeClr w14:val="tx1"/>
            </w14:solidFill>
          </w14:textFill>
        </w:rPr>
      </w:pPr>
    </w:p>
    <w:p>
      <w:pPr>
        <w:pStyle w:val="14"/>
        <w:jc w:val="center"/>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第六章 政府采购合同</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参考文本</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合同编号：</w:t>
      </w:r>
    </w:p>
    <w:p>
      <w:pPr>
        <w:pStyle w:val="14"/>
        <w:jc w:val="center"/>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福建省政府采购合同（货物类）</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编制说明</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1.签订合同应遵守《中华人民共和国政府采购法》及其实施条例、《中华人民共和国民法典》等法律法规及其他有关规定。</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2.签订合同时，采购人与中标(成交)人应结合采购文件规定填列相应内容。采购文件已有约定的，双方均不得对约定进行变更或调整；采购文件未作规定的，双方可通过友好协商进行约定。</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3.政府有关主管部门对若干合同有规范文本的，可使用相应合同文本。</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4.本合同范本仅供参考，采购人应当根据采购项目的实际需求对合同条款进行修改、补充。</w:t>
      </w:r>
    </w:p>
    <w:p>
      <w:pPr>
        <w:pStyle w:val="14"/>
        <w:ind w:left="0"/>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住所地：___________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电子邮箱：___________</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ind w:left="0"/>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住所地：___________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电子邮箱：___________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根据项目编号为________的___________项目（以下简称：“本项目”）的采购结果，遵循平等、自愿、公平和诚实信用的原则，双方签署本合同，具体内容如下：</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一、合同组成部分</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1.1本合同条款及附件；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1.2采购文件及其附件、补充文件；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1.3乙方的响应文件及其附件、补充文件；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1.4其他文件或材料：</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二、合同标的</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三、合同金额</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3.1合同总价：人民币（大写）_________（￥_________元）；</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3.2合同总价组成：___________；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3.3其他需说明事项：___________；</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四、合同标的交付</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4.1交付时间：___________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4.2交付地点：___________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4.3交付条件：___________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4.4供货要求：</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若乙方提供的采购标的不符合国家知识产权法律、法规的规定或被有关主管机关认定为假冒伪劣品，则乙方中标或成交资格将被取消；甲方还将按照有关法律、法规和规章的规定进行处理，具体如下：</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（4）其他供货要求：</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五、质量标准及要求</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5.1质量标准及要求</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（2）其他质量要求</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5.2节能环保产品要求</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5.3质量保证范围、质量保证期及售后服务</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（1）质量保证范围：___________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（2）本合同乙方所供应的货物质量保证期自验收合格之日起{_______月。</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（3）售后服务应按法律法规和采购文件约定执行，具体如下：</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5.4商品安全责任</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商品安全责任应按照法律法规和采购文件的规定执行，具体如下：</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六、安装调试、验收及退、换货</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6.1安装调试、验收应按照采购文件、乙方响应文件的规定或约定进行，具体如下：</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6.2本项目是否邀请其他投标人参与验收：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0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不邀请。邀请，具体如下：</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6.3本项目是否邀请专家参与验收：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0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不邀请。邀请，具体如下：</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6.4本项目是否邀请国家认可的质量检测机构参与验收：</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0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不邀请。邀请，具体如下：</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6.5履约验收：___________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6.6退、换货：___________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6.7其他：</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七、资金支付方式、条件和时间</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八、履约保证金</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□有，□无。具体如下违约：（按照采购文件规定填写）。</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8.1乙方向甲方缴纳人民币 元（大写： ）作为本合同的履约保证金。</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8.2履约保证金缴纳形式：支票/汇票/电汇/保函等非现金形式。</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8.3履约保证金退还： （根据实际情况填写） 。</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九、合同期限</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十、违约责任</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10.1甲方违约责任</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（1）甲方无正当理由拒收乙方交付的合格产品的，甲方向乙方偿付拒收货款总值_____的违约金</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（2）甲方无故逾期验收和办理合同款项支付手续的,甲方应按逾期付款总额每日_______向乙方支付违约金。</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（3）其他违约情形</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10.2乙方违约责任</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（1）乙方逾期履行服务的，乙方应按逾期交付总额每日_______向甲方支付违约金，由甲方从待付货款中扣除。乙方无正当理由逾期超过约定日期_______仍不能交付的，视为“乙方不按合同约定履约”；</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（2）乙方所交付的产品不符合合同规定及《采购文件》规定标准的，甲方有权拒收，乙方愿意更换产品但逾期交货的，按乙方逾期交货处理。乙方拒绝更换产品的，视为“乙方不按合同约定履约”；</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（3）乙方不按合同约定履约的，甲方可以解除采购合同，并对乙方已缴纳的履约保证金作“不予退还”处理。同时，乙方还须按向甲方支付违约金：</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（4）其他违约情形</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十一、不可抗力事件处理</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十二、保密条款</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12.1对于在采购和合同履行过程中所获悉的属于保密的内容，甲、乙双方均负有保密义务。</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12.2其他</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十三、解决争议的方法</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13.1甲、乙双方协商解决。</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13.2若协商解决不成，则通过下列途径之一解决：</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0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提交仲裁委员会仲裁，具体如下：</w:t>
      </w:r>
    </w:p>
    <w:p>
      <w:pPr>
        <w:pStyle w:val="14"/>
        <w:spacing w:line="30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向人民法院提起诉讼，具体如下：</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十四、合同其他条款</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十五、其他约定</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15.1合同文件与本合同具有同等法律效力。</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15.3本合同未尽事宜，遵照《中华人民共和国民法典》有关条文执行。</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15.4本合同正本一式_______份，具有同等法律效力，甲方、乙方各执_______份；副本_______份，_______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15.5本合同已用于政府采购合同融资，为本项目提供合同融资的金融机构为：_______，甲乙双方应当按照融资合同的约定进行资金使用及款项支付。</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中标（成交）供应商应于采购合同签订之日起_______内，向发放政采贷的金融机构提交政府采购中标（成交）通知书和政府采购合同，贷款金额以政府采购合同金额为限。</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15.6其他</w:t>
      </w:r>
    </w:p>
    <w:p>
      <w:pPr>
        <w:pStyle w:val="14"/>
        <w:jc w:val="left"/>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十六、合同附件</w:t>
      </w:r>
      <w:r>
        <w:rPr>
          <w:rFonts w:hint="eastAsia" w:ascii="宋体" w:hAnsi="宋体" w:eastAsia="宋体" w:cs="宋体"/>
          <w:color w:val="000000" w:themeColor="text1"/>
          <w:sz w:val="24"/>
          <w:szCs w:val="24"/>
          <w:highlight w:val="none"/>
          <w14:textFill>
            <w14:solidFill>
              <w14:schemeClr w14:val="tx1"/>
            </w14:solidFill>
          </w14:textFill>
        </w:rPr>
        <w:br w:type="textWrapping"/>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甲方（采购人）：</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法定（授权）代表人：</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纳税人识别号：</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p>
      <w:pPr>
        <w:pStyle w:val="14"/>
        <w:spacing w:after="375"/>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乙方（中标或成交人）：</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法定（授权）代表人：</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纳税人识别号：</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签订地点：__________</w:t>
      </w:r>
    </w:p>
    <w:p>
      <w:pPr>
        <w:pStyle w:val="14"/>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签订日期：___年___月___日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spacing w:line="360" w:lineRule="auto"/>
        <w:jc w:val="center"/>
        <w:outlineLvl w:val="1"/>
        <w:rPr>
          <w:rFonts w:hint="eastAsia" w:ascii="宋体" w:hAnsi="宋体" w:eastAsia="宋体" w:cs="宋体"/>
          <w:b/>
          <w:color w:val="000000" w:themeColor="text1"/>
          <w:sz w:val="24"/>
          <w:szCs w:val="24"/>
          <w:highlight w:val="none"/>
          <w14:textFill>
            <w14:solidFill>
              <w14:schemeClr w14:val="tx1"/>
            </w14:solidFill>
          </w14:textFill>
        </w:rPr>
      </w:pPr>
    </w:p>
    <w:p>
      <w:pPr>
        <w:pStyle w:val="14"/>
        <w:spacing w:line="360" w:lineRule="auto"/>
        <w:jc w:val="center"/>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第七章 电子投标文件格式</w:t>
      </w:r>
    </w:p>
    <w:p>
      <w:pPr>
        <w:pStyle w:val="14"/>
        <w:spacing w:line="360" w:lineRule="auto"/>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编制说明</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1、除招标文件另有规定外，本章中：</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1.1涉及投标人的“全称”：</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（1）不接受联合体投标的，指投标人的全称。</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（2）接受联合体投标且投标人为联合体的，指牵头方的全称并加注（联合体牵头方），即应表述为：“牵头方的全称（联合体牵头方）”。</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1.2涉及投标人“加盖单位公章”：</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（1）不接受联合体投标的，指加盖投标人的单位公章。</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（2）接受联合体投标且投标人为联合体的，指加盖联合体牵头方的单位公章。</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1.3涉及“投标人代表签字”：</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（1）不接受联合体投标的，指由投标人的单位负责人或其授权的委托代理人签字，由委托代理人签字的，应提供“单位授权书”。</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（2）接受联合体投标且投标人为联合体的，指由联合体牵头方的单位负责人或其授权的委托代理人签字，由委托代理人签字的，应提供“单位授权书”。</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1.4“其他组织”指合伙企业、非企业专业服务机构、个体工商户、农村承包经营户等。</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1.5“自然人”指具有完全民事行为能力、能够承担民事责任和义务的中国公民。</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2、除招标文件另有规定外，本章中“投标人的资格及资信证明文件”：</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2.1投标人应按照招标文件第四章第1.3条第（2）款规定及本章规定进行编制，如有必要，可增加附页，附页作为资格及资信文件的组成部分。</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2.2接受联合体投标且投标人为联合体的，联合体中的各方均应按照本章第2.1条规定提交相应的全部资料。</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3、投标人对电子投标文件的索引应编制页码。</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4、本章提供格式仅供参考，投标人应根据自身实际情况制作电子投标文件。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封面格式(资格及资信证明部分)</w:t>
      </w:r>
    </w:p>
    <w:p>
      <w:pPr>
        <w:pStyle w:val="14"/>
        <w:spacing w:line="360" w:lineRule="auto"/>
        <w:jc w:val="center"/>
        <w:outlineLvl w:val="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福建省政府采购投标文件</w:t>
      </w:r>
    </w:p>
    <w:p>
      <w:pPr>
        <w:pStyle w:val="14"/>
        <w:spacing w:line="360" w:lineRule="auto"/>
        <w:jc w:val="center"/>
        <w:outlineLvl w:val="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（资格及资信证明部分）</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spacing w:line="360" w:lineRule="auto"/>
        <w:jc w:val="center"/>
        <w:outlineLvl w:val="1"/>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（填写正本或副本）</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（项目名称：（由投标人填写）</w:t>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（备案编号：（由投标人填写）</w:t>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（项目编号：（由投标人填写）</w:t>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（所投采购包：（由投标人填写）</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投标人：（填写“全称”）</w:t>
      </w:r>
    </w:p>
    <w:p>
      <w:pPr>
        <w:pStyle w:val="14"/>
        <w:spacing w:line="360" w:lineRule="auto"/>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（由投标人填写）年（由投标人填写）月</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索引</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一、投标函</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二、投标人的资格及资信证明文件</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三、投标保证金</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资格及资信证明部分中不得出现报价部分的全部或部分的投标报价信息（或组成资料），否则资格审查不合格。（联合体协议及分包意向协议中的比例规定，不适用本条款）</w:t>
      </w: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一、投标函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兹收到贵单位关于</w:t>
      </w:r>
      <w:r>
        <w:rPr>
          <w:rFonts w:hint="eastAsia" w:ascii="宋体" w:hAnsi="宋体" w:eastAsia="宋体" w:cs="宋体"/>
          <w:color w:val="000000" w:themeColor="text1"/>
          <w:sz w:val="24"/>
          <w:szCs w:val="24"/>
          <w:highlight w:val="none"/>
          <w:u w:val="single"/>
          <w14:textFill>
            <w14:solidFill>
              <w14:schemeClr w14:val="tx1"/>
            </w14:solidFill>
          </w14:textFill>
        </w:rPr>
        <w:t>（填写“项目名称”）</w:t>
      </w:r>
      <w:r>
        <w:rPr>
          <w:rFonts w:hint="eastAsia" w:ascii="宋体" w:hAnsi="宋体" w:eastAsia="宋体" w:cs="宋体"/>
          <w:color w:val="000000" w:themeColor="text1"/>
          <w:sz w:val="24"/>
          <w:szCs w:val="24"/>
          <w:highlight w:val="none"/>
          <w14:textFill>
            <w14:solidFill>
              <w14:schemeClr w14:val="tx1"/>
            </w14:solidFill>
          </w14:textFill>
        </w:rPr>
        <w:t>项目</w:t>
      </w:r>
      <w:r>
        <w:rPr>
          <w:rFonts w:hint="eastAsia" w:ascii="宋体" w:hAnsi="宋体" w:eastAsia="宋体" w:cs="宋体"/>
          <w:color w:val="000000" w:themeColor="text1"/>
          <w:sz w:val="24"/>
          <w:szCs w:val="24"/>
          <w:highlight w:val="none"/>
          <w:u w:val="single"/>
          <w14:textFill>
            <w14:solidFill>
              <w14:schemeClr w14:val="tx1"/>
            </w14:solidFill>
          </w14:textFill>
        </w:rPr>
        <w:t>（项目编号：　　　　　）</w:t>
      </w:r>
      <w:r>
        <w:rPr>
          <w:rFonts w:hint="eastAsia" w:ascii="宋体" w:hAnsi="宋体" w:eastAsia="宋体" w:cs="宋体"/>
          <w:color w:val="000000" w:themeColor="text1"/>
          <w:sz w:val="24"/>
          <w:szCs w:val="24"/>
          <w:highlight w:val="none"/>
          <w14:textFill>
            <w14:solidFill>
              <w14:schemeClr w14:val="tx1"/>
            </w14:solidFill>
          </w14:textFill>
        </w:rPr>
        <w:t>的投标邀请，本投标人代表</w:t>
      </w:r>
      <w:r>
        <w:rPr>
          <w:rFonts w:hint="eastAsia" w:ascii="宋体" w:hAnsi="宋体" w:eastAsia="宋体" w:cs="宋体"/>
          <w:color w:val="000000" w:themeColor="text1"/>
          <w:sz w:val="24"/>
          <w:szCs w:val="24"/>
          <w:highlight w:val="none"/>
          <w:u w:val="single"/>
          <w14:textFill>
            <w14:solidFill>
              <w14:schemeClr w14:val="tx1"/>
            </w14:solidFill>
          </w14:textFill>
        </w:rPr>
        <w:t>（填写“全名”）</w:t>
      </w:r>
      <w:r>
        <w:rPr>
          <w:rFonts w:hint="eastAsia" w:ascii="宋体" w:hAnsi="宋体" w:eastAsia="宋体" w:cs="宋体"/>
          <w:color w:val="000000" w:themeColor="text1"/>
          <w:sz w:val="24"/>
          <w:szCs w:val="24"/>
          <w:highlight w:val="none"/>
          <w14:textFill>
            <w14:solidFill>
              <w14:schemeClr w14:val="tx1"/>
            </w14:solidFill>
          </w14:textFill>
        </w:rPr>
        <w:t>已获得我方正式授权并代表投标人（填写“全称”）参加投标，并提交电子投标文件。我方提交的全部电子投标文件由下述部分组成：</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（1）资格及资信证明部分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①投标函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②投标人的资格及资信证明文件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③投标保证金</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（2）报价部分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①开标一览表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②投标分项报价表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③招标文件规定的价格扣除证明材料（若有）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④招标文件规定的加分证明材料（若有）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（3）技术商务部分</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①标的说明一览表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②技术和服务要求响应表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③商务条件响应表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④投标人提交的其他资料（若有）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根据本函，本投标人代表宣布我方保证遵守招标文件的全部规定，同时：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1、确认：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1.1所投采购包的投标报价详见“开标一览表”及“投标分项报价表”。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1.2我方已详细审查全部招标文件[包括但不限于：有关附件（若有）、澄清或修改（若有）等]，并自行承担因对全部招标文件理解不正确或误解而产生的相应后果和责任。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2、承诺及声明：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2.1我方具备招标文件第一章载明的“投标人的资格要求”且符合招标文件第三章载明的“二、投标人”之规定，否则投标无效。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2.2我方提交的电子投标文件各组成部分的全部内容及资料是不可割离且真实、有效、准确、完整和不具有任何误导性的，否则产生不利后果由我方承担责任。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2.3我方提供的标的价格不高于同期市场价格，否则产生不利后果由我方承担责任。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2.4投标保证金：若出现招标文件第三章规定的不予退还情形，同意贵单位不予退还。</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2.5投标有效期：按照招标文件第三章规定执行，并在招标文件第二章载明的期限内保持有效。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2.6若中标，将按照招标文件、我方电子投标文件及政府采购合同履行责任和义务。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2.7若贵单位要求，我方同意提供与本项目投标有关的一切资料、数据或文件，并完全理解贵单位不一定要接受最低的投标报价或收到的任何投标。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2.8我方承诺电子投标文件所提供的全部资料真实可靠，并接受评标委员会、采购人、采购代理机构、监管部门进一步审查其中任何资料真实性的要求。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2.9除招标文件另有规定外，对于贵单位按照下述联络方式发出的任何信息或通知，均视为我方已收悉前述信息或通知的全部内容：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通信地址：             </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邮编：             </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联系方法：（包括但不限于：联系人、联系电话、手机、传真、电子邮箱等）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投标人：（全称并加盖单位公章）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二、投标人的资格及资信证明文件</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二-1单位授权书（若有）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我方的单位负责人</w:t>
      </w:r>
      <w:r>
        <w:rPr>
          <w:rFonts w:hint="eastAsia" w:ascii="宋体" w:hAnsi="宋体" w:eastAsia="宋体" w:cs="宋体"/>
          <w:color w:val="000000" w:themeColor="text1"/>
          <w:sz w:val="24"/>
          <w:szCs w:val="24"/>
          <w:highlight w:val="none"/>
          <w:u w:val="single"/>
          <w14:textFill>
            <w14:solidFill>
              <w14:schemeClr w14:val="tx1"/>
            </w14:solidFill>
          </w14:textFill>
        </w:rPr>
        <w:t>（填写“单位负责人全名”）</w:t>
      </w:r>
      <w:r>
        <w:rPr>
          <w:rFonts w:hint="eastAsia" w:ascii="宋体" w:hAnsi="宋体" w:eastAsia="宋体" w:cs="宋体"/>
          <w:color w:val="000000" w:themeColor="text1"/>
          <w:sz w:val="24"/>
          <w:szCs w:val="24"/>
          <w:highlight w:val="none"/>
          <w14:textFill>
            <w14:solidFill>
              <w14:schemeClr w14:val="tx1"/>
            </w14:solidFill>
          </w14:textFill>
        </w:rPr>
        <w:t>授权</w:t>
      </w:r>
      <w:r>
        <w:rPr>
          <w:rFonts w:hint="eastAsia" w:ascii="宋体" w:hAnsi="宋体" w:eastAsia="宋体" w:cs="宋体"/>
          <w:color w:val="000000" w:themeColor="text1"/>
          <w:sz w:val="24"/>
          <w:szCs w:val="24"/>
          <w:highlight w:val="none"/>
          <w:u w:val="single"/>
          <w14:textFill>
            <w14:solidFill>
              <w14:schemeClr w14:val="tx1"/>
            </w14:solidFill>
          </w14:textFill>
        </w:rPr>
        <w:t>（填写“投标人代表全名”）</w:t>
      </w:r>
      <w:r>
        <w:rPr>
          <w:rFonts w:hint="eastAsia" w:ascii="宋体" w:hAnsi="宋体" w:eastAsia="宋体" w:cs="宋体"/>
          <w:color w:val="000000" w:themeColor="text1"/>
          <w:sz w:val="24"/>
          <w:szCs w:val="24"/>
          <w:highlight w:val="none"/>
          <w14:textFill>
            <w14:solidFill>
              <w14:schemeClr w14:val="tx1"/>
            </w14:solidFill>
          </w14:textFill>
        </w:rPr>
        <w:t>为投标人代表，代表我方参加</w:t>
      </w:r>
      <w:r>
        <w:rPr>
          <w:rFonts w:hint="eastAsia" w:ascii="宋体" w:hAnsi="宋体" w:eastAsia="宋体" w:cs="宋体"/>
          <w:color w:val="000000" w:themeColor="text1"/>
          <w:sz w:val="24"/>
          <w:szCs w:val="24"/>
          <w:highlight w:val="none"/>
          <w:u w:val="single"/>
          <w14:textFill>
            <w14:solidFill>
              <w14:schemeClr w14:val="tx1"/>
            </w14:solidFill>
          </w14:textFill>
        </w:rPr>
        <w:t>（填写“项目名称”）</w:t>
      </w:r>
      <w:r>
        <w:rPr>
          <w:rFonts w:hint="eastAsia" w:ascii="宋体" w:hAnsi="宋体" w:eastAsia="宋体" w:cs="宋体"/>
          <w:color w:val="000000" w:themeColor="text1"/>
          <w:sz w:val="24"/>
          <w:szCs w:val="24"/>
          <w:highlight w:val="none"/>
          <w14:textFill>
            <w14:solidFill>
              <w14:schemeClr w14:val="tx1"/>
            </w14:solidFill>
          </w14:textFill>
        </w:rPr>
        <w:t>项目（项目编号：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投标人代表无转委权。特此授权。</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（以下无正文）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身份证号：</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手机：</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投标人代表：</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身份证号：</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手机：</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授权方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签署日期：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附：单位负责人、投标人代表的身份证正反面复印件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pBdr>
          <w:top w:val="dashed" w:color="000000" w:sz="4" w:space="0"/>
          <w:left w:val="dashed" w:color="000000" w:sz="4" w:space="0"/>
          <w:bottom w:val="dashed" w:color="000000" w:sz="4" w:space="0"/>
          <w:right w:val="dashed" w:color="000000" w:sz="4" w:space="0"/>
        </w:pBdr>
        <w:jc w:val="center"/>
        <w:rPr>
          <w:rFonts w:hint="eastAsia" w:ascii="宋体" w:hAnsi="宋体" w:eastAsia="宋体" w:cs="宋体"/>
          <w:color w:val="000000" w:themeColor="text1"/>
          <w:sz w:val="24"/>
          <w:szCs w:val="24"/>
          <w:highlight w:val="none"/>
          <w14:textFill>
            <w14:solidFill>
              <w14:schemeClr w14:val="tx1"/>
            </w14:solidFill>
          </w14:textFill>
        </w:rPr>
      </w:pPr>
    </w:p>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要求：真实有效且内容完整、清晰、整洁。</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1、企业（银行、保险、石油石化、电力、电信等行业除外）、事业单位和社会团体法人的“单位负责人”指法定代表人，即与实际提交的“营业执照等证明文件”载明的一致。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3、投标人（自然人除外）：若投标人代表为单位授权的委托代理人，应提供本授权书；若投标人代表为单位负责人，应在此项下提交其身份证正反面复印件，可不提供本授权书。</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4、投标人为自然人的，可不填写本授权书。</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二-2营业执照等证明文件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）投标人为法人（包括企业、事业单位和社会团体）的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现附上由</w:t>
      </w:r>
      <w:r>
        <w:rPr>
          <w:rFonts w:hint="eastAsia" w:ascii="宋体" w:hAnsi="宋体" w:eastAsia="宋体" w:cs="宋体"/>
          <w:color w:val="000000" w:themeColor="text1"/>
          <w:sz w:val="24"/>
          <w:szCs w:val="24"/>
          <w:highlight w:val="none"/>
          <w:u w:val="single"/>
          <w14:textFill>
            <w14:solidFill>
              <w14:schemeClr w14:val="tx1"/>
            </w14:solidFill>
          </w14:textFill>
        </w:rPr>
        <w:t>（（填写“签发机关全称”）</w:t>
      </w:r>
      <w:r>
        <w:rPr>
          <w:rFonts w:hint="eastAsia" w:ascii="宋体" w:hAnsi="宋体" w:eastAsia="宋体" w:cs="宋体"/>
          <w:color w:val="000000" w:themeColor="text1"/>
          <w:sz w:val="24"/>
          <w:szCs w:val="24"/>
          <w:highlight w:val="none"/>
          <w14:textFill>
            <w14:solidFill>
              <w14:schemeClr w14:val="tx1"/>
            </w14:solidFill>
          </w14:textFill>
        </w:rPr>
        <w:t>签发的我方统一社会信用代码（请填写法人的具体证照名称）复印件，该证明材料真实有效，否则我方负全部责任。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）投标人为非法人（包括其他组织、自然人）的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□现附上由</w:t>
      </w:r>
      <w:r>
        <w:rPr>
          <w:rFonts w:hint="eastAsia" w:ascii="宋体" w:hAnsi="宋体" w:eastAsia="宋体" w:cs="宋体"/>
          <w:color w:val="000000" w:themeColor="text1"/>
          <w:sz w:val="24"/>
          <w:szCs w:val="24"/>
          <w:highlight w:val="none"/>
          <w:u w:val="single"/>
          <w14:textFill>
            <w14:solidFill>
              <w14:schemeClr w14:val="tx1"/>
            </w14:solidFill>
          </w14:textFill>
        </w:rPr>
        <w:t>（（填写“签发机关全称”）</w:t>
      </w:r>
      <w:r>
        <w:rPr>
          <w:rFonts w:hint="eastAsia" w:ascii="宋体" w:hAnsi="宋体" w:eastAsia="宋体" w:cs="宋体"/>
          <w:color w:val="000000" w:themeColor="text1"/>
          <w:sz w:val="24"/>
          <w:szCs w:val="24"/>
          <w:highlight w:val="none"/>
          <w14:textFill>
            <w14:solidFill>
              <w14:schemeClr w14:val="tx1"/>
            </w14:solidFill>
          </w14:textFill>
        </w:rPr>
        <w:t>签发的我方（请填写非自然人的非法人的具体证照名称）复印件，该证明材料真实有效，否则我方负全部责任。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□现附上由</w:t>
      </w:r>
      <w:r>
        <w:rPr>
          <w:rFonts w:hint="eastAsia" w:ascii="宋体" w:hAnsi="宋体" w:eastAsia="宋体" w:cs="宋体"/>
          <w:color w:val="000000" w:themeColor="text1"/>
          <w:sz w:val="24"/>
          <w:szCs w:val="24"/>
          <w:highlight w:val="none"/>
          <w:u w:val="single"/>
          <w14:textFill>
            <w14:solidFill>
              <w14:schemeClr w14:val="tx1"/>
            </w14:solidFill>
          </w14:textFill>
        </w:rPr>
        <w:t>（（填写“签发机关全称”）</w:t>
      </w:r>
      <w:r>
        <w:rPr>
          <w:rFonts w:hint="eastAsia" w:ascii="宋体" w:hAnsi="宋体" w:eastAsia="宋体" w:cs="宋体"/>
          <w:color w:val="000000" w:themeColor="text1"/>
          <w:sz w:val="24"/>
          <w:szCs w:val="24"/>
          <w:highlight w:val="none"/>
          <w14:textFill>
            <w14:solidFill>
              <w14:schemeClr w14:val="tx1"/>
            </w14:solidFill>
          </w14:textFill>
        </w:rPr>
        <w:t>签发的我方（请填写自然人的身份证件名称）复印件，该证明材料真实有效，否则我方负全部责任。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1、请投标人按照实际情况编制填写，在相应的（）中打“√”并选择相应的“□”（若有）后，再按照本格式的要求提供相应证明材料的复印件。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二-3财务状况报告（财务报告、或资信证明）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）投标人提供财务报告的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□企业适用：现附上我方</w:t>
      </w:r>
      <w:r>
        <w:rPr>
          <w:rFonts w:hint="eastAsia" w:ascii="宋体" w:hAnsi="宋体" w:eastAsia="宋体" w:cs="宋体"/>
          <w:color w:val="000000" w:themeColor="text1"/>
          <w:sz w:val="24"/>
          <w:szCs w:val="24"/>
          <w:highlight w:val="none"/>
          <w:u w:val="single"/>
          <w14:textFill>
            <w14:solidFill>
              <w14:schemeClr w14:val="tx1"/>
            </w14:solidFill>
          </w14:textFill>
        </w:rPr>
        <w:t>（填写“具体的年度、或半年度、季度”）</w:t>
      </w:r>
      <w:r>
        <w:rPr>
          <w:rFonts w:hint="eastAsia" w:ascii="宋体" w:hAnsi="宋体" w:eastAsia="宋体" w:cs="宋体"/>
          <w:color w:val="000000" w:themeColor="text1"/>
          <w:sz w:val="24"/>
          <w:szCs w:val="24"/>
          <w:highlight w:val="none"/>
          <w14:textFill>
            <w14:solidFill>
              <w14:schemeClr w14:val="tx1"/>
            </w14:solidFill>
          </w14:textFill>
        </w:rPr>
        <w:t>财务报告复印件，包括资产负债表、利润表、现金流量表、所有者权益变动表（若有）及其附注（若有）、会计师事务所营业执照和注册会计师资格证书，上述证明材料真实有效，否则我方负全部责任。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□事业单位适用：现附上我方</w:t>
      </w:r>
      <w:r>
        <w:rPr>
          <w:rFonts w:hint="eastAsia" w:ascii="宋体" w:hAnsi="宋体" w:eastAsia="宋体" w:cs="宋体"/>
          <w:color w:val="000000" w:themeColor="text1"/>
          <w:sz w:val="24"/>
          <w:szCs w:val="24"/>
          <w:highlight w:val="none"/>
          <w:u w:val="single"/>
          <w14:textFill>
            <w14:solidFill>
              <w14:schemeClr w14:val="tx1"/>
            </w14:solidFill>
          </w14:textFill>
        </w:rPr>
        <w:t>（填写“具体的年度、或半年度、或季度”）</w:t>
      </w:r>
      <w:r>
        <w:rPr>
          <w:rFonts w:hint="eastAsia" w:ascii="宋体" w:hAnsi="宋体" w:eastAsia="宋体" w:cs="宋体"/>
          <w:color w:val="000000" w:themeColor="text1"/>
          <w:sz w:val="24"/>
          <w:szCs w:val="24"/>
          <w:highlight w:val="none"/>
          <w14:textFill>
            <w14:solidFill>
              <w14:schemeClr w14:val="tx1"/>
            </w14:solidFill>
          </w14:textFill>
        </w:rPr>
        <w:t>财务报告复印件，包括资产负债表、收入支出表（或收入费用表）、财政补助收入支出表（若有）、会计师事务所营业执照和注册会计师资格证书，上述证明材料真实有效，否则我方负全部责任。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□社会团体、民办非企适用：现附上我方</w:t>
      </w:r>
      <w:r>
        <w:rPr>
          <w:rFonts w:hint="eastAsia" w:ascii="宋体" w:hAnsi="宋体" w:eastAsia="宋体" w:cs="宋体"/>
          <w:color w:val="000000" w:themeColor="text1"/>
          <w:sz w:val="24"/>
          <w:szCs w:val="24"/>
          <w:highlight w:val="none"/>
          <w:u w:val="single"/>
          <w14:textFill>
            <w14:solidFill>
              <w14:schemeClr w14:val="tx1"/>
            </w14:solidFill>
          </w14:textFill>
        </w:rPr>
        <w:t>（填写“具体的年度、或半年度、或季度”）</w:t>
      </w:r>
      <w:r>
        <w:rPr>
          <w:rFonts w:hint="eastAsia" w:ascii="宋体" w:hAnsi="宋体" w:eastAsia="宋体" w:cs="宋体"/>
          <w:color w:val="000000" w:themeColor="text1"/>
          <w:sz w:val="24"/>
          <w:szCs w:val="24"/>
          <w:highlight w:val="none"/>
          <w14:textFill>
            <w14:solidFill>
              <w14:schemeClr w14:val="tx1"/>
            </w14:solidFill>
          </w14:textFill>
        </w:rPr>
        <w:t>财务报告复印件，包括资产负债表、业务活动表、现金流量表、会计师事务所营业执照和注册会计师资格证书，上述证明材料真实有效，否则我方负全部责任。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）投标人提供资信证明的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□非自然人适用（包括企业、事业单位、社会团体和其他组织）：现附上我方银行：</w:t>
      </w:r>
      <w:r>
        <w:rPr>
          <w:rFonts w:hint="eastAsia" w:ascii="宋体" w:hAnsi="宋体" w:eastAsia="宋体" w:cs="宋体"/>
          <w:color w:val="000000" w:themeColor="text1"/>
          <w:sz w:val="24"/>
          <w:szCs w:val="24"/>
          <w:highlight w:val="none"/>
          <w:u w:val="single"/>
          <w14:textFill>
            <w14:solidFill>
              <w14:schemeClr w14:val="tx1"/>
            </w14:solidFill>
          </w14:textFill>
        </w:rPr>
        <w:t>（填写“开户银行全称”）</w:t>
      </w:r>
      <w:r>
        <w:rPr>
          <w:rFonts w:hint="eastAsia" w:ascii="宋体" w:hAnsi="宋体" w:eastAsia="宋体" w:cs="宋体"/>
          <w:color w:val="000000" w:themeColor="text1"/>
          <w:sz w:val="24"/>
          <w:szCs w:val="24"/>
          <w:highlight w:val="none"/>
          <w14:textFill>
            <w14:solidFill>
              <w14:schemeClr w14:val="tx1"/>
            </w14:solidFill>
          </w14:textFill>
        </w:rPr>
        <w:t>出具的资信证明复印件，上述证明材料真实有效，否则我方负全部责任。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□自然人适用：现附上我方银行</w:t>
      </w:r>
      <w:r>
        <w:rPr>
          <w:rFonts w:hint="eastAsia" w:ascii="宋体" w:hAnsi="宋体" w:eastAsia="宋体" w:cs="宋体"/>
          <w:color w:val="000000" w:themeColor="text1"/>
          <w:sz w:val="24"/>
          <w:szCs w:val="24"/>
          <w:highlight w:val="none"/>
          <w:u w:val="single"/>
          <w14:textFill>
            <w14:solidFill>
              <w14:schemeClr w14:val="tx1"/>
            </w14:solidFill>
          </w14:textFill>
        </w:rPr>
        <w:t>：（填写自然人的“个人账户的开户银行全称”）</w:t>
      </w:r>
      <w:r>
        <w:rPr>
          <w:rFonts w:hint="eastAsia" w:ascii="宋体" w:hAnsi="宋体" w:eastAsia="宋体" w:cs="宋体"/>
          <w:color w:val="000000" w:themeColor="text1"/>
          <w:sz w:val="24"/>
          <w:szCs w:val="24"/>
          <w:highlight w:val="none"/>
          <w14:textFill>
            <w14:solidFill>
              <w14:schemeClr w14:val="tx1"/>
            </w14:solidFill>
          </w14:textFill>
        </w:rPr>
        <w:t>出具的资信证明复印件，上述证明材料真实有效，否则我方负全部责任。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1、请投标人按照实际情况编制填写，在相应的（）中打“√”并选择相应的“□”（若有）后，再按照本格式的要求提供相应证明材料的复印件。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2、投标人提供的财务报告复印件（成立年限按照投标截止时间推算）应符合下列规定：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2.1成立年限满1年及以上的投标人，提供经审计的招标文件规定的年度财务报告。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2.2成立年限满半年但不足1年的投标人，提供该半年度中任一季度的季度财务报告或该半年度的半年度财务报告。</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二-4依法缴纳税收证明材料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1、依法缴纳税收的投标人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）法人（包括企业、事业单位和社会团体）的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现附上自</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至</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期间我方缴纳（包括但不限于税务机关出具的专用收据、税收缴纳证明或税收代缴银行的缴款收讫凭证）等税收凭据复印件，上述证明材料真实有效，否则我方负全部责任。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）非法人（包括其他组织、自然人）的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现附上自</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至</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期间我方缴纳（包括但不限于税务机关出具的专用收据、税收缴纳证明或税收代缴银行的缴款收讫凭证）等税收凭据复印件，上述证明材料真实有效，否则我方负全部责任。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2、依法免税的投标人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）现附上我方依法免税的证明材料复印件，上述证明材料真实有效，否则我方负全部责任。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1、请投标人按照实际情况编制填写，在相应的（）中打“√”，并按照本格式的要求提供相应证明材料的复印件。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2、投标人提供的税收缴纳凭据复印件应符合下列规定：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2.1投标截止时间前（不含投标截止时间的当月）已依法缴纳税收的投标人，提供投标截止时间前六个月（不含投标截止时间的当月）中任一月份的税收缴纳凭据复印件。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2.2投标截止时间的当月成立的投标人，视同满足本项资格条件要求。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3、若为依法免税范围的投标人，提供依法免税证明材料的，视同满足本项资格条件要求。</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二-5依法缴纳社会保障资金证明材料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1、依法缴纳社会保障资金的投标人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）法人（包括企业、事业单位和社会团体）的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现附上自</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至</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我方缴纳的社会保险凭据（限：税务机关/社会保障资金管理机关的专用收据或社会保险缴纳清单，或社会保险的银行缴款收讫凭证）复印件，上述证明材料真实有效，否则我方负全部责任。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）非法人（包括其他组织、自然人）的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至</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r>
        <w:rPr>
          <w:rFonts w:hint="eastAsia" w:ascii="宋体" w:hAnsi="宋体" w:eastAsia="宋体" w:cs="宋体"/>
          <w:color w:val="000000" w:themeColor="text1"/>
          <w:sz w:val="24"/>
          <w:szCs w:val="24"/>
          <w:highlight w:val="none"/>
          <w14:textFill>
            <w14:solidFill>
              <w14:schemeClr w14:val="tx1"/>
            </w14:solidFill>
          </w14:textFill>
        </w:rPr>
        <w:t>我方缴纳的社会保险凭据（限：税务机关/社会保障资金管理机关的专用收据或社会保险缴纳清单，或社会保险的银行缴款收讫凭证）复印件，上述证明材料真实有效，否则我方负全部责任。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2、依法不需要缴纳或暂缓缴纳社会保障资金的投标人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）现附上我方依法不需要缴纳或暂缓缴纳社会保障资金证明材料复印件，上述证明材料真实有效，否则我方负全部责任。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1、请投标人按照实际情况编制填写，在相应的（）中打“√”，并按照本格式的要求提供相应证明材料的复印件。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2、投标人提供的社会保障资金缴纳凭据复印件应符合下列规定：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2.1投标截止时间前（不含投标截止时间的当月）已依法缴纳社会保障资金的投标人，提供投标截止时间前六个月（不含投标截止时间的当月）中任一月份的社会保障资金缴纳凭据复印件。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2.2投标截止时间的当月成立的投标人，视同满足本项资格条件要求。</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3、若为依法不需要缴纳或暂缓缴纳社会保障资金的投标人，提供依法不需要缴纳或暂缓缴纳社会保障资金证明材料的，视同满足本项资格条件要求。</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二-6具备履行合同所必需设备和专业技术能力的声明函（若有）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我方具备履行合同所必需的设备和专业技术能力，否则产生不利后果由我方承担责任。</w:t>
      </w:r>
    </w:p>
    <w:p>
      <w:pPr>
        <w:pStyle w:val="14"/>
        <w:ind w:firstLine="96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特此声明。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1、招标文件未要求投标人提供“具备履行合同所必需的设备和专业技术能力专项证明材料”的，投标人应提供本声明函。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2、招标文件要求投标人提供“具备履行合同所必需的设备和专业技术能力专项证明材料”的，投标人可不提供本声明函。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3、请投标人根据实际情况如实声明，否则视为提供虚假材料。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二-7参加采购活动前三年内在经营活动中没有重大违法记录书面声明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14"/>
        <w:ind w:firstLine="96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特此声明。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请投标人根据实际情况如实声明，否则视为提供虚假材料。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二-8信用记录查询提示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1、由资格审查小组通过网站查询并打印投标人的信用记录。</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二-9中小企业声明函</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（以资格条件落实中小企业扶持政策时适用，若有）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中小企业声明函（货物）</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万元1，属于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中小企业声明函（工程、服务）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万元1，属于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残疾人福利性单位声明函</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（以资格条件落实中小企业扶持政策时适用，若有）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）由本投标人承建的（填写“所投采购包、品目号”）工程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）由本投标人承接的（填写“所投采购包、品目号”）服务；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本投标人对上述声明的真实性负责。如有虚假，将依法承担相应责任。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1、请投标人按照实际情况编制填写本声明函，并在相应的（）中打“√”。</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2、若《残疾人福利性单位声明函》内容不真实，视为提供虚假材料。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监狱企业证明材料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投标人为监狱企业，提供本单位制造的货物（承接的服务），并在电子投标文件中提供省级以上监狱管理局、戒毒管理局（含新疆生产建设兵团）出具的属于监狱企业的证明文件。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二-10联合体协议（若有）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兹有</w:t>
      </w:r>
      <w:r>
        <w:rPr>
          <w:rFonts w:hint="eastAsia" w:ascii="宋体" w:hAnsi="宋体" w:eastAsia="宋体" w:cs="宋体"/>
          <w:color w:val="000000" w:themeColor="text1"/>
          <w:sz w:val="24"/>
          <w:szCs w:val="24"/>
          <w:highlight w:val="none"/>
          <w:u w:val="single"/>
          <w14:textFill>
            <w14:solidFill>
              <w14:schemeClr w14:val="tx1"/>
            </w14:solidFill>
          </w14:textFill>
        </w:rPr>
        <w:t>（填写“联合体中各方的全称”，各方的全称之间请用“、”分割）</w:t>
      </w:r>
      <w:r>
        <w:rPr>
          <w:rFonts w:hint="eastAsia" w:ascii="宋体" w:hAnsi="宋体" w:eastAsia="宋体" w:cs="宋体"/>
          <w:color w:val="000000" w:themeColor="text1"/>
          <w:sz w:val="24"/>
          <w:szCs w:val="24"/>
          <w:highlight w:val="none"/>
          <w14:textFill>
            <w14:solidFill>
              <w14:schemeClr w14:val="tx1"/>
            </w14:solidFill>
          </w14:textFill>
        </w:rPr>
        <w:t>自愿组成联合体，共同参加</w:t>
      </w:r>
      <w:r>
        <w:rPr>
          <w:rFonts w:hint="eastAsia" w:ascii="宋体" w:hAnsi="宋体" w:eastAsia="宋体" w:cs="宋体"/>
          <w:color w:val="000000" w:themeColor="text1"/>
          <w:sz w:val="24"/>
          <w:szCs w:val="24"/>
          <w:highlight w:val="none"/>
          <w:u w:val="single"/>
          <w14:textFill>
            <w14:solidFill>
              <w14:schemeClr w14:val="tx1"/>
            </w14:solidFill>
          </w14:textFill>
        </w:rPr>
        <w:t>（填写“项目名称”）</w:t>
      </w:r>
      <w:r>
        <w:rPr>
          <w:rFonts w:hint="eastAsia" w:ascii="宋体" w:hAnsi="宋体" w:eastAsia="宋体" w:cs="宋体"/>
          <w:color w:val="000000" w:themeColor="text1"/>
          <w:sz w:val="24"/>
          <w:szCs w:val="24"/>
          <w:highlight w:val="none"/>
          <w14:textFill>
            <w14:solidFill>
              <w14:schemeClr w14:val="tx1"/>
            </w14:solidFill>
          </w14:textFill>
        </w:rPr>
        <w:t>项目（项目编号：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）的投标。现就联合体参加本项目投标的有关事宜达成下列协议：</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一、联合体各方应承担的工作和义务具体如下：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1、牵头方（全称）：</w:t>
      </w:r>
      <w:r>
        <w:rPr>
          <w:rFonts w:hint="eastAsia" w:ascii="宋体" w:hAnsi="宋体" w:eastAsia="宋体" w:cs="宋体"/>
          <w:color w:val="000000" w:themeColor="text1"/>
          <w:sz w:val="24"/>
          <w:szCs w:val="24"/>
          <w:highlight w:val="none"/>
          <w:u w:val="single"/>
          <w14:textFill>
            <w14:solidFill>
              <w14:schemeClr w14:val="tx1"/>
            </w14:solidFill>
          </w14:textFill>
        </w:rPr>
        <w:t>（填写“工作及义务的具体内容”）</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2、成员方：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2.1（成员一的全称）：</w:t>
      </w:r>
      <w:r>
        <w:rPr>
          <w:rFonts w:hint="eastAsia" w:ascii="宋体" w:hAnsi="宋体" w:eastAsia="宋体" w:cs="宋体"/>
          <w:color w:val="000000" w:themeColor="text1"/>
          <w:sz w:val="24"/>
          <w:szCs w:val="24"/>
          <w:highlight w:val="none"/>
          <w:u w:val="single"/>
          <w14:textFill>
            <w14:solidFill>
              <w14:schemeClr w14:val="tx1"/>
            </w14:solidFill>
          </w14:textFill>
        </w:rPr>
        <w:t>（填写“工作及义务的具体内容”）</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二、联合体各方的合同金额占比，具体如下：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1.牵头方（</w:t>
      </w:r>
      <w:r>
        <w:rPr>
          <w:rFonts w:hint="eastAsia" w:ascii="宋体" w:hAnsi="宋体" w:eastAsia="宋体" w:cs="宋体"/>
          <w:color w:val="000000" w:themeColor="text1"/>
          <w:sz w:val="24"/>
          <w:szCs w:val="24"/>
          <w:highlight w:val="none"/>
          <w:u w:val="single"/>
          <w14:textFill>
            <w14:solidFill>
              <w14:schemeClr w14:val="tx1"/>
            </w14:solidFill>
          </w14:textFill>
        </w:rPr>
        <w:t>全称</w:t>
      </w:r>
      <w:r>
        <w:rPr>
          <w:rFonts w:hint="eastAsia" w:ascii="宋体" w:hAnsi="宋体" w:eastAsia="宋体" w:cs="宋体"/>
          <w:color w:val="000000" w:themeColor="text1"/>
          <w:sz w:val="24"/>
          <w:szCs w:val="24"/>
          <w:highlight w:val="none"/>
          <w14:textFill>
            <w14:solidFill>
              <w14:schemeClr w14:val="tx1"/>
            </w14:solidFill>
          </w14:textFill>
        </w:rPr>
        <w:t>）的合同金额占合同总额的</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2.成员方：</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w:t>
      </w:r>
      <w:r>
        <w:rPr>
          <w:rFonts w:hint="eastAsia" w:ascii="宋体" w:hAnsi="宋体" w:eastAsia="宋体" w:cs="宋体"/>
          <w:color w:val="000000" w:themeColor="text1"/>
          <w:sz w:val="24"/>
          <w:szCs w:val="24"/>
          <w:highlight w:val="none"/>
          <w:u w:val="single"/>
          <w14:textFill>
            <w14:solidFill>
              <w14:schemeClr w14:val="tx1"/>
            </w14:solidFill>
          </w14:textFill>
        </w:rPr>
        <w:t>成员1的全称</w:t>
      </w:r>
      <w:r>
        <w:rPr>
          <w:rFonts w:hint="eastAsia" w:ascii="宋体" w:hAnsi="宋体" w:eastAsia="宋体" w:cs="宋体"/>
          <w:color w:val="000000" w:themeColor="text1"/>
          <w:sz w:val="24"/>
          <w:szCs w:val="24"/>
          <w:highlight w:val="none"/>
          <w14:textFill>
            <w14:solidFill>
              <w14:schemeClr w14:val="tx1"/>
            </w14:solidFill>
          </w14:textFill>
        </w:rPr>
        <w:t>）的合同金额占合同总额的</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三、联合体各方约定：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1、由</w:t>
      </w:r>
      <w:r>
        <w:rPr>
          <w:rFonts w:hint="eastAsia" w:ascii="宋体" w:hAnsi="宋体" w:eastAsia="宋体" w:cs="宋体"/>
          <w:color w:val="000000" w:themeColor="text1"/>
          <w:sz w:val="24"/>
          <w:szCs w:val="24"/>
          <w:highlight w:val="none"/>
          <w:u w:val="single"/>
          <w14:textFill>
            <w14:solidFill>
              <w14:schemeClr w14:val="tx1"/>
            </w14:solidFill>
          </w14:textFill>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2、联合体各方约定由</w:t>
      </w:r>
      <w:r>
        <w:rPr>
          <w:rFonts w:hint="eastAsia" w:ascii="宋体" w:hAnsi="宋体" w:eastAsia="宋体" w:cs="宋体"/>
          <w:color w:val="000000" w:themeColor="text1"/>
          <w:sz w:val="24"/>
          <w:szCs w:val="24"/>
          <w:highlight w:val="none"/>
          <w:u w:val="single"/>
          <w14:textFill>
            <w14:solidFill>
              <w14:schemeClr w14:val="tx1"/>
            </w14:solidFill>
          </w14:textFill>
        </w:rPr>
        <w:t>（填写“牵头方的全称”）代表联合体办理投标保证金事宜。</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四、若中标，牵头方将代表联合体与采购人就合同签订事宜进行协商；若协商一致，则联合体各方将共同与采购人签订政府采购合同，并就政府采购合同约定的事项对采购人承担连带责任。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五、本协议自签署之日起生效，政府采购合同履行完毕后自动失效。</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六、本协议一式</w:t>
      </w:r>
      <w:r>
        <w:rPr>
          <w:rFonts w:hint="eastAsia" w:ascii="宋体" w:hAnsi="宋体" w:eastAsia="宋体" w:cs="宋体"/>
          <w:color w:val="000000" w:themeColor="text1"/>
          <w:sz w:val="24"/>
          <w:szCs w:val="24"/>
          <w:highlight w:val="none"/>
          <w:u w:val="single"/>
          <w14:textFill>
            <w14:solidFill>
              <w14:schemeClr w14:val="tx1"/>
            </w14:solidFill>
          </w14:textFill>
        </w:rPr>
        <w:t>（填写具体份数）</w:t>
      </w:r>
      <w:r>
        <w:rPr>
          <w:rFonts w:hint="eastAsia" w:ascii="宋体" w:hAnsi="宋体" w:eastAsia="宋体" w:cs="宋体"/>
          <w:color w:val="000000" w:themeColor="text1"/>
          <w:sz w:val="24"/>
          <w:szCs w:val="24"/>
          <w:highlight w:val="none"/>
          <w14:textFill>
            <w14:solidFill>
              <w14:schemeClr w14:val="tx1"/>
            </w14:solidFill>
          </w14:textFill>
        </w:rPr>
        <w:t>份，联合体各方各执一份，电子投标文件中提交一份。</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（以下无正文）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牵头方：</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（签字或盖章）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成员一：</w:t>
      </w:r>
      <w:r>
        <w:rPr>
          <w:rFonts w:hint="eastAsia" w:ascii="宋体" w:hAnsi="宋体" w:eastAsia="宋体" w:cs="宋体"/>
          <w:color w:val="000000" w:themeColor="text1"/>
          <w:sz w:val="24"/>
          <w:szCs w:val="24"/>
          <w:highlight w:val="none"/>
          <w:u w:val="single"/>
          <w14:textFill>
            <w14:solidFill>
              <w14:schemeClr w14:val="tx1"/>
            </w14:solidFill>
          </w14:textFill>
        </w:rPr>
        <w:t>（全称并加盖成员一的单位公章）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（签字或盖章）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成员**：</w:t>
      </w:r>
      <w:r>
        <w:rPr>
          <w:rFonts w:hint="eastAsia" w:ascii="宋体" w:hAnsi="宋体" w:eastAsia="宋体" w:cs="宋体"/>
          <w:color w:val="000000" w:themeColor="text1"/>
          <w:sz w:val="24"/>
          <w:szCs w:val="24"/>
          <w:highlight w:val="none"/>
          <w:u w:val="single"/>
          <w14:textFill>
            <w14:solidFill>
              <w14:schemeClr w14:val="tx1"/>
            </w14:solidFill>
          </w14:textFill>
        </w:rPr>
        <w:t>（全称并加盖成员**的单位公章）</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（签字或盖章）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签署日期：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1、招标文件接受联合体投标且投标人为联合体的，投标人应提供本协议；否则无须提供。</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2、本协议由委托代理人签字或盖章的，应按照本章载明的格式提供“单位授权书”。</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3、在以联合体形式落实中小企业预留份额项目中，投标人除了要提供《中小企业声明函》，还需提供本协议。</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二-11分包意向协议（若有）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甲方（总包方）：</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（即本项目的投标人）</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乙方（分包方）：</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兹有甲方参加</w:t>
      </w:r>
      <w:r>
        <w:rPr>
          <w:rFonts w:hint="eastAsia" w:ascii="宋体" w:hAnsi="宋体" w:eastAsia="宋体" w:cs="宋体"/>
          <w:color w:val="000000" w:themeColor="text1"/>
          <w:sz w:val="24"/>
          <w:szCs w:val="24"/>
          <w:highlight w:val="none"/>
          <w:u w:val="single"/>
          <w14:textFill>
            <w14:solidFill>
              <w14:schemeClr w14:val="tx1"/>
            </w14:solidFill>
          </w14:textFill>
        </w:rPr>
        <w:t>（填写“项目名称”）</w:t>
      </w:r>
      <w:r>
        <w:rPr>
          <w:rFonts w:hint="eastAsia" w:ascii="宋体" w:hAnsi="宋体" w:eastAsia="宋体" w:cs="宋体"/>
          <w:color w:val="000000" w:themeColor="text1"/>
          <w:sz w:val="24"/>
          <w:szCs w:val="24"/>
          <w:highlight w:val="none"/>
          <w14:textFill>
            <w14:solidFill>
              <w14:schemeClr w14:val="tx1"/>
            </w14:solidFill>
          </w14:textFill>
        </w:rPr>
        <w:t>项目（项目编号：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）的政府采购活动。甲方期望将采购项目的部分采购标的分包给乙方完成，而乙方保证能够向甲方提供本协议项下的采购标的，甲、乙双方就合同分包的有关事宜达成下列协议：</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一、分包标的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（根据双方的意向填写，可以是表格或文字描述）。</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二、分包合同金额占比</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分包合同价占投标总价的比例：</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三、其他条款</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w:t>
            </w:r>
          </w:p>
        </w:tc>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住所：</w:t>
            </w:r>
          </w:p>
        </w:tc>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住所：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单位负责人或委托代理人：</w:t>
            </w:r>
          </w:p>
        </w:tc>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单位负责人或委托代理人：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联系方法：</w:t>
            </w:r>
          </w:p>
        </w:tc>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tc>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c>
          <w:tcPr>
            <w:tcW w:w="415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1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签订地点：</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签约日期：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1.招标文件接受合同分包且投标人拟将合同分包的，应提供本协议；否则无须提供。</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2.本协议由委托代理人签字或盖章的，应按照本章载明的格式提供“单位授权书”。</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3.在以合同分包形式落实中小企业预留份额项目中，投标人除了要提供《中小企业声明函》，还需提供本协议。</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二-12其他资格证明文件（若有）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二-12-①具备履行合同所必需设备和专业技术能力专项证明材料（若有）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（采购人或采购代理机构）</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现附上我方具备履行合同所必需的设备和专业技术能力的专项证明材料复印件（具体附后），上述证明材料真实有效，否则我方负全部责任。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1、招标文件要求投标人提供“具备履行合同所必需的设备和专业技术能力专项证明材料”的，投标人应按照招标文件规定在此项下提供相应证明材料复印件。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2、投标人提供的相应证明材料复印件均应符合：内容完整、清晰、整洁，并由投标人加盖其单位公章。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二-12-②招标文件规定的其他资格证明文件（若有）</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除招标文件另有规定外，招标文件要求提交的除前述资格证明文件外的其他资格证明文件（若有）加盖投标人的单位公章后应在此项下提交。</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三、投标保证金</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1、在此项下提交的“投标保证金”材料可使用转账凭证复印件或从福建省政府采购网上公开信息系统中下载的有关原始页面的打印件。</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2、投标保证金是否已提交的认定按照招标文件第三章规定执行。</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封面格式(报价部分)</w:t>
      </w:r>
    </w:p>
    <w:p>
      <w:pPr>
        <w:pStyle w:val="14"/>
        <w:jc w:val="center"/>
        <w:outlineLvl w:val="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福建省政府采购投标文件</w:t>
      </w:r>
    </w:p>
    <w:p>
      <w:pPr>
        <w:pStyle w:val="14"/>
        <w:jc w:val="center"/>
        <w:outlineLvl w:val="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（报价部分）</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jc w:val="center"/>
        <w:outlineLvl w:val="1"/>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（填写正本或副本）</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（项目名称：（由投标人填写）</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（备案编号：（由投标人填写）</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（项目编号：（由投标人填写）</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（所投采购包：（由投标人填写）</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投标人：（填写“全称”）</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（由投标人填写）年（由投标人填写）月</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索引</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一、开标一览表</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二、投标分项报价表</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三、招标文件规定的价格扣除证明材料（若有）</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四、招标文件规定的加分证明材料（若有）</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一、开标一览表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货币及单位：人民币元</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w:t>
            </w:r>
          </w:p>
        </w:tc>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投标保证金</w:t>
            </w:r>
          </w:p>
        </w:tc>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投标总价（大写金额）：</w:t>
            </w:r>
            <w:r>
              <w:rPr>
                <w:rFonts w:hint="eastAsia" w:ascii="宋体" w:hAnsi="宋体" w:eastAsia="宋体" w:cs="宋体"/>
                <w:color w:val="000000" w:themeColor="text1"/>
                <w:sz w:val="24"/>
                <w:szCs w:val="24"/>
                <w:highlight w:val="none"/>
                <w:u w:val="single"/>
                <w14:textFill>
                  <w14:solidFill>
                    <w14:schemeClr w14:val="tx1"/>
                  </w14:solidFill>
                </w14:textFill>
              </w:rPr>
              <w:t>　　　　　　　　</w:t>
            </w:r>
          </w:p>
        </w:tc>
        <w:tc>
          <w:tcPr>
            <w:tcW w:w="2076"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2076"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a.&gt;投标报价的明细：详见《投标分项报价表》。</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b.&gt;招标文件规定的价格扣除证明材料（若有）：详见报价部分。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2076"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投标总价（大写金额）：</w:t>
            </w:r>
            <w:r>
              <w:rPr>
                <w:rFonts w:hint="eastAsia" w:ascii="宋体" w:hAnsi="宋体" w:eastAsia="宋体" w:cs="宋体"/>
                <w:color w:val="000000" w:themeColor="text1"/>
                <w:sz w:val="24"/>
                <w:szCs w:val="24"/>
                <w:highlight w:val="none"/>
                <w:u w:val="single"/>
                <w14:textFill>
                  <w14:solidFill>
                    <w14:schemeClr w14:val="tx1"/>
                  </w14:solidFill>
                </w14:textFill>
              </w:rPr>
              <w:t>　　　　　　　　</w:t>
            </w:r>
          </w:p>
        </w:tc>
        <w:tc>
          <w:tcPr>
            <w:tcW w:w="2076"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2076"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1、本表应按照下列规定填写：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1.1投标人应按照本表格式填写所投的采购包的“投标报价”。</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1.2本表中列示的“采购包”应与《投标分项报价表》中列示的“采购包”保持一致，即：若本表中列示的“采购包”为“1”时，《投标分项报价表》中列示的“采购包”亦应为“1”，以此类推。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1.3“大写金额”指“投标报价”应用“壹、贰、叁、肆、伍、陆、柒、捌、玖、拾、佰、仟、万、亿、元、角、分、零”等进行填写。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二、投标分项报价表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货币及单位：人民币元</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投标标的</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规格</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来源地</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单价（现场）</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总价（现场）</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923" w:type="dxa"/>
          </w:tcPr>
          <w:p>
            <w:pPr>
              <w:rPr>
                <w:rFonts w:hint="eastAsia" w:ascii="宋体" w:hAnsi="宋体" w:eastAsia="宋体" w:cs="宋体"/>
                <w:color w:val="000000" w:themeColor="text1"/>
                <w:sz w:val="24"/>
                <w:szCs w:val="24"/>
                <w:highlight w:val="none"/>
                <w14:textFill>
                  <w14:solidFill>
                    <w14:schemeClr w14:val="tx1"/>
                  </w14:solidFill>
                </w14:textFill>
              </w:rPr>
            </w:pP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1、本表应按照下列规定填写：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1.2“投标标的”为货物的：“规格”项下应填写货物制造厂商赋予的品牌（属于节能、环保清单产品的货物，填写的品牌名称应与清单载明的品牌名称保持一致）及具体型号。“来源地”应填写货物的原产地。</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1.3“投标标的”为服务的：“规格”项下应填写服务提供者提供的服务标准及品牌（若有）。“来源地”应填写服务提供者的所在地。</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1.4同一采购包中，“单价（现场）”×“数量”=“总价（现场）”，全部品目号“总价（现场）”的合计金额应与《开标一览表》中相应采购包列示的“投标总价”保持一致。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1.5若招标文件要求投标人对“备品备件价格、专用工具价格、技术服务费、安装调试费、检验培训费、运输费、保险费、税收”等进行报价的，请在本表的“备注”项下填写。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三、招标文件规定的价格扣除证明材料（若有）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三-1优先类节能产品、环境标志产品价格扣除证明材料（若有）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三-1-①优先类节能产品、环境标志产品统计表（价格扣除适用，若有）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货币及单位：人民币元</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7122" w:type="dxa"/>
            <w:gridSpan w:val="6"/>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本采购包内属于节能、环境标志产品的情况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货物名称</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单价（现场）</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总价（现场）</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c>
          <w:tcPr>
            <w:tcW w:w="7122" w:type="dxa"/>
            <w:gridSpan w:val="6"/>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a.采购包内属于节能、环境标志产品的报价总金额：</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b.采购包投标总价（报价总金额）：</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c.“采购包内属于节能、环境标志产品的报价总金额”占“采购包投标总价（报价总金额）”的比例（以%列示）：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w:t>
            </w: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1、对节能、环境标志产品计算价格扣除时，只依据电子投标文件“三-1-②优先类节能产品、环境标志产品证明材料（价格扣除适用，若有）”。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2、本表以采购包为单位，不同采购包请分别填写；同一采购包请按照其品目号顺序分别填写。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3、具体统计、计算：</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3.1若节能、环境标志产品仅是构成投标产品的部件、组件或零件，则该投标产品不享受鼓励优惠政策。同一品目中各认证证书不重复计算价格扣除。强制类节能产品不享受价格扣除。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3.2计算结果若除不尽，可四舍五入保留到小数点后两位。</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3.3投标人应按照招标文件要求认真统计、计算，否则评标委员会不予认定。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3.4若无节能、环境标志产品，不填写本表，否则，视为提供虚假材料。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三-1-②优先类节能产品、环境标志产品证明材料（价格扣除适用，若有）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三-2小型、微型企业产品等价格扣除证明材料（若有）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三-2-①中小企业声明函（价格扣除适用，若有）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中小企业声明函（货物）</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 xml:space="preserve">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w:t>
      </w:r>
      <w:r>
        <w:rPr>
          <w:rFonts w:hint="eastAsia" w:ascii="宋体" w:hAnsi="宋体" w:eastAsia="宋体" w:cs="宋体"/>
          <w:color w:val="000000" w:themeColor="text1"/>
          <w:sz w:val="24"/>
          <w:szCs w:val="24"/>
          <w:highlight w:val="none"/>
          <w:vertAlign w:val="superscript"/>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中小企业声明函（工程、服务）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 xml:space="preserve">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w:t>
      </w:r>
      <w:r>
        <w:rPr>
          <w:rFonts w:hint="eastAsia" w:ascii="宋体" w:hAnsi="宋体" w:eastAsia="宋体" w:cs="宋体"/>
          <w:color w:val="000000" w:themeColor="text1"/>
          <w:sz w:val="24"/>
          <w:szCs w:val="24"/>
          <w:highlight w:val="none"/>
          <w:vertAlign w:val="superscript"/>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三-2-②小型、微型企业等证明材料（价格扣除适用，若有）</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1、投标人应按照招标文件要求提供相应证明材料，证明材料应与《中小企业声明函》的内容相一致，否则视为《中小企业声明函》内容不真实。</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2、投标人为监狱企业的，根据其提供的由省级以上监狱管理局、戒毒管理局（含新疆生产建设兵团）出具的属于监狱企业的证明文件进行认定，监狱企业视同小型、微型企业。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3、投标人为残疾人福利性单位的，根据其提供的《残疾人福利性单位声明函》（格式附后）进行认定，残疾人福利性单位视同小型、微型企业。残疾人福利性单位属于小型、微型企业的，不重复享受政策。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残疾人福利性单位声明函（价格扣除适用，若有）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本投标人郑重声明，根据《财政部 民政部</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 xml:space="preserve">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 xml:space="preserve">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）由本投标人承建的（填写“所投采购包、品目号”）工程</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）由本投标人承接的（填写“所投采购包、品目号”）服务；</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本投标人对上述声明的真实性负责。如有虚假，将依法承担相应责任。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1、请投标人按照实际情况编制填写本声明函，并在相应的（）中打“√”。</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2、若《残疾人福利性单位声明函》内容不真实，视为提供虚假材料。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监狱企业证明材料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投标人为监狱企业，提供本单位制造的货物（承接的服务），并在电子投标文件中提供省级以上监狱管理局、戒毒管理局（含新疆生产建设兵团）出具的属于监狱企业的证明文件。</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三-3招标文件规定的其他价格扣除证明材料（若有）</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若投标人可享受招标文件规定的除“节能（非强制类）、环境标志产品价格扣除”及“小型、微型企业产品等价格扣除”外的其他价格扣除优惠，则投标人应按照招标文件要求提供相应证明材料。</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四、招标文件规定的加分证明材料（若有）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四-1优先类节能产品、环境标志产品加分证明材料（若有）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四-1-①优先类节能产品、环境标志产品统计表（加分适用，若有）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货币及单位：人民币元</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7122" w:type="dxa"/>
            <w:gridSpan w:val="6"/>
          </w:tcPr>
          <w:p>
            <w:pPr>
              <w:pStyle w:val="14"/>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本采购包内属于节能、环境标志产品的情况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货物名称</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单价（现场）</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总价（现场）</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tcPr>
          <w:p>
            <w:pPr>
              <w:rPr>
                <w:rFonts w:hint="eastAsia" w:ascii="宋体" w:hAnsi="宋体" w:eastAsia="宋体" w:cs="宋体"/>
                <w:color w:val="000000" w:themeColor="text1"/>
                <w:sz w:val="24"/>
                <w:szCs w:val="24"/>
                <w:highlight w:val="none"/>
                <w14:textFill>
                  <w14:solidFill>
                    <w14:schemeClr w14:val="tx1"/>
                  </w14:solidFill>
                </w14:textFill>
              </w:rPr>
            </w:pP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1、对节能、环境标志产品计算价格扣除时，只依据电子投标文件“四-1-②优先类节能产品、环境标志产品加分证明材料（加分适用，若有）”。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2、本表以采购包为单位，不同采购包请分别填写；同一采购包请按照其品目号顺序分别填写。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3、具体统计、计算：</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3.1若节能、环境标志产品仅是构成投标产品的部件、组件或零件，则该投标产品不享受鼓励优惠政策。同一品目中各认证证书不重复计算价格扣除。强制类节能产品不享受价格扣除。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3.2计算结果若除不尽，可四舍五入保留到小数点后两位。</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3.3投标人应按照招标文件要求认真统计、计算，否则评标委员会不予认定。</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3.4若无节能、环境标志产品，不填写本表，否则，视为提供虚假材料。</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四-1-②优先类节能产品、环境标志产品证明材料（加分适用，若有）</w:t>
      </w:r>
    </w:p>
    <w:p>
      <w:pPr>
        <w:pStyle w:val="14"/>
        <w:jc w:val="center"/>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四-2招标文件规定的其他加分证明材料（若有）</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若投标人可享受招标文件规定的除“优先类节能产品、环境标志产品加分”外的其他加分优惠，则投标人应按照招标文件要求提供相应证明材料。</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封面格式(技术商务部分)</w:t>
      </w:r>
    </w:p>
    <w:p>
      <w:pPr>
        <w:pStyle w:val="14"/>
        <w:jc w:val="center"/>
        <w:outlineLvl w:val="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福建省政府采购投标文件</w:t>
      </w:r>
    </w:p>
    <w:p>
      <w:pPr>
        <w:pStyle w:val="14"/>
        <w:jc w:val="center"/>
        <w:outlineLvl w:val="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（技术商务部分）</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jc w:val="center"/>
        <w:outlineLvl w:val="1"/>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（填写正本或副本）</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（项目名称：（由投标人填写）</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（备案编号：（由投标人填写）</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（项目编号：（由投标人填写）</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（所投采购包：（由投标人填写）</w:t>
      </w:r>
      <w:r>
        <w:rPr>
          <w:rFonts w:hint="eastAsia" w:ascii="宋体" w:hAnsi="宋体" w:eastAsia="宋体" w:cs="宋体"/>
          <w:color w:val="000000" w:themeColor="text1"/>
          <w:sz w:val="30"/>
          <w:szCs w:val="30"/>
          <w:highlight w:val="none"/>
          <w14:textFill>
            <w14:solidFill>
              <w14:schemeClr w14:val="tx1"/>
            </w14:solidFill>
          </w14:textFill>
        </w:rPr>
        <w:br w:type="textWrapping"/>
      </w:r>
      <w:r>
        <w:rPr>
          <w:rFonts w:hint="eastAsia" w:ascii="宋体" w:hAnsi="宋体" w:eastAsia="宋体" w:cs="宋体"/>
          <w:color w:val="000000" w:themeColor="text1"/>
          <w:sz w:val="30"/>
          <w:szCs w:val="30"/>
          <w:highlight w:val="none"/>
          <w14:textFill>
            <w14:solidFill>
              <w14:schemeClr w14:val="tx1"/>
            </w14:solidFill>
          </w14:textFill>
        </w:rPr>
        <w:br w:type="textWrapping"/>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投标人：（填写“全称”）</w:t>
      </w:r>
    </w:p>
    <w:p>
      <w:pPr>
        <w:pStyle w:val="14"/>
        <w:jc w:val="center"/>
        <w:outlineLvl w:val="2"/>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（由投标人填写）年（由投标人填写）月</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spacing w:line="360" w:lineRule="auto"/>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索引</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一、标的说明一览表</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二、技术和服务要求响应表</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三、商务条件响应表</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四、投标人提交的其他资料（若有）</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spacing w:line="360" w:lineRule="auto"/>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技术商务部分中不得出现报价部分的全部或部分的投标报价信息（或组成资料），否则符合性审查不合格。</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一、标的说明一览表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投标标的</w:t>
            </w: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规格</w:t>
            </w: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来源地</w:t>
            </w: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384" w:type="dxa"/>
          </w:tcPr>
          <w:p>
            <w:pPr>
              <w:rPr>
                <w:rFonts w:hint="eastAsia" w:ascii="宋体" w:hAnsi="宋体" w:eastAsia="宋体" w:cs="宋体"/>
                <w:color w:val="000000" w:themeColor="text1"/>
                <w:sz w:val="24"/>
                <w:szCs w:val="24"/>
                <w:highlight w:val="none"/>
                <w14:textFill>
                  <w14:solidFill>
                    <w14:schemeClr w14:val="tx1"/>
                  </w14:solidFill>
                </w14:textFill>
              </w:rPr>
            </w:pP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1、本表应按照下列规定填写：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1.1“采购包”、“品目号”、“投标标的”及“数量”应与招标文件《采购标的一览表》中的有关内容（“采购包”、“品目号”、“采购标的”及“数量”）保持一致。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1.3“投标标的”为服务的：“规格”项下应填写服务提供者提供的服务标准及品牌（若有）。“来源地”应填写服务提供者的所在地。“备注”项下应填写关于服务标准所涵盖的具体项目或内容的说明等。</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2、投标人需要说明的内容若需特殊表达，应先在本表中进行相应说明，再另页应答，但应做好标注说明，方便评委查阅评审。未标注说明可能导致的不利的评审后果由投标人自行承担。</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3、电子投标文件中涉及“投标标的”、“数量”、“规格”、“来源地”的内容若不一致，应以本表为准。</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二、技术和服务要求响应表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技术和服务要求</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投标响应</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1、本表应按照下列规定填写：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1.1“技术和服务要求”项下填写的内容应与招标文件第五章“技术和服务要求”的内容保持一致。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1.3“是否偏离及说明”项下应按下列规定填写：优于的，填写“正偏离”；符合的，填写“无偏离”；低于的，填写“负偏离”。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2、投标人需要说明的内容若需特殊表达，应先在本表中进行相应说明，再另页应答，但应做好标注说明，方便评委查阅评审。未标注说明可能导致的不利的评审后果由投标人自行承担。</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三、商务条件响应表</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采购包</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商务条件</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投标响应</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c>
          <w:tcPr>
            <w:tcW w:w="1661" w:type="dxa"/>
          </w:tcPr>
          <w:p>
            <w:pPr>
              <w:rPr>
                <w:rFonts w:hint="eastAsia" w:ascii="宋体" w:hAnsi="宋体" w:eastAsia="宋体" w:cs="宋体"/>
                <w:color w:val="000000" w:themeColor="text1"/>
                <w:sz w:val="24"/>
                <w:szCs w:val="24"/>
                <w:highlight w:val="none"/>
                <w14:textFill>
                  <w14:solidFill>
                    <w14:schemeClr w14:val="tx1"/>
                  </w14:solidFill>
                </w14:textFill>
              </w:rPr>
            </w:pPr>
          </w:p>
        </w:tc>
      </w:tr>
    </w:tbl>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1、本表应按照下列规定填写：</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1.1“商务条件”项下填写的内容应与招标文件第五章“商务条件”的内容保持一致。</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1.2“投标响应”项下应填写具体的响应内容并与“商务条件”项下填写的内容逐项对应；对“商务条件”项下涉及“≥或＞”、“≤或＜”及某个区间值范围内的内容，应填写具体的数值。</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1.3“是否偏离及说明”项下应按下列规定填写：优于的，填写“正偏离”；符合的，填写“无偏离”；低于的，填写“负偏离”。</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2、投标人需要说明的内容若需特殊表达，应先在本表中进行相应说明，再另页应答，但应做好标注说明，方便评委查阅评审。未标注说明可能导致的不利的评审后果由投标人自行承担。</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w:t>
      </w:r>
      <w:r>
        <w:rPr>
          <w:rFonts w:hint="eastAsia" w:ascii="宋体" w:hAnsi="宋体" w:eastAsia="宋体" w:cs="宋体"/>
          <w:color w:val="000000" w:themeColor="text1"/>
          <w:sz w:val="24"/>
          <w:szCs w:val="24"/>
          <w:highlight w:val="none"/>
          <w:u w:val="single"/>
          <w14:textFill>
            <w14:solidFill>
              <w14:schemeClr w14:val="tx1"/>
            </w14:solidFill>
          </w14:textFill>
        </w:rPr>
        <w:t>（全称并加盖单位公章）</w:t>
      </w:r>
    </w:p>
    <w:p>
      <w:pPr>
        <w:pStyle w:val="14"/>
        <w:ind w:firstLine="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年　　月　　日</w:t>
      </w: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p>
    <w:p>
      <w:pPr>
        <w:pStyle w:val="14"/>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pPr>
        <w:pStyle w:val="14"/>
        <w:jc w:val="center"/>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四、投标人提交的其他资料（若有）</w:t>
      </w:r>
    </w:p>
    <w:p>
      <w:pPr>
        <w:pStyle w:val="14"/>
        <w:ind w:firstLine="48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编制说明</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1、招标文件要求提交的除“资格及资信证明部分”、“报价部分”外的其他证明材料或资料加盖投标人的单位公章后应在此项下提交。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2、招标文件要求投标人提供方案（包括但不限于：组织、实施、技术、服务方案等）的，投标人应在此项下提交。</w:t>
      </w:r>
    </w:p>
    <w:p>
      <w:pPr>
        <w:pStyle w:val="14"/>
        <w:ind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3、除招标文件另有规定外，投标人认为需要提交的其他证明材料或资料加盖投标人的单位公章后应在此项下提交。</w:t>
      </w:r>
    </w:p>
    <w:p>
      <w:pPr>
        <w:pStyle w:val="14"/>
        <w:rPr>
          <w:rFonts w:hint="eastAsia" w:ascii="宋体" w:hAnsi="宋体" w:eastAsia="宋体" w:cs="宋体"/>
          <w:color w:val="000000" w:themeColor="text1"/>
          <w:sz w:val="24"/>
          <w:szCs w:val="24"/>
          <w:highlight w:val="none"/>
          <w:lang w:val="en-US" w:eastAsia="zh-Hans"/>
          <w14:textFill>
            <w14:solidFill>
              <w14:schemeClr w14:val="tx1"/>
            </w14:solidFill>
          </w14:textFill>
        </w:rPr>
      </w:pPr>
    </w:p>
    <w:sectPr>
      <w:footerReference r:id="rId3" w:type="default"/>
      <w:pgSz w:w="11906" w:h="16838"/>
      <w:pgMar w:top="1440" w:right="1426" w:bottom="1440" w:left="15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䅂䍄䕅⯋컌">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C1FEE"/>
    <w:multiLevelType w:val="multilevel"/>
    <w:tmpl w:val="87EC1FEE"/>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8D221641"/>
    <w:multiLevelType w:val="singleLevel"/>
    <w:tmpl w:val="8D221641"/>
    <w:lvl w:ilvl="0" w:tentative="0">
      <w:start w:val="3"/>
      <w:numFmt w:val="chineseCounting"/>
      <w:suff w:val="nothing"/>
      <w:lvlText w:val="（%1）"/>
      <w:lvlJc w:val="left"/>
      <w:rPr>
        <w:rFonts w:hint="eastAsia"/>
      </w:rPr>
    </w:lvl>
  </w:abstractNum>
  <w:abstractNum w:abstractNumId="2">
    <w:nsid w:val="9EA9AB01"/>
    <w:multiLevelType w:val="singleLevel"/>
    <w:tmpl w:val="9EA9AB01"/>
    <w:lvl w:ilvl="0" w:tentative="0">
      <w:start w:val="4"/>
      <w:numFmt w:val="decimal"/>
      <w:suff w:val="nothing"/>
      <w:lvlText w:val="%1、"/>
      <w:lvlJc w:val="left"/>
    </w:lvl>
  </w:abstractNum>
  <w:abstractNum w:abstractNumId="3">
    <w:nsid w:val="AB85E723"/>
    <w:multiLevelType w:val="singleLevel"/>
    <w:tmpl w:val="AB85E723"/>
    <w:lvl w:ilvl="0" w:tentative="0">
      <w:start w:val="2"/>
      <w:numFmt w:val="decimal"/>
      <w:suff w:val="nothing"/>
      <w:lvlText w:val="%1、"/>
      <w:lvlJc w:val="left"/>
    </w:lvl>
  </w:abstractNum>
  <w:abstractNum w:abstractNumId="4">
    <w:nsid w:val="B5BAFC2F"/>
    <w:multiLevelType w:val="singleLevel"/>
    <w:tmpl w:val="B5BAFC2F"/>
    <w:lvl w:ilvl="0" w:tentative="0">
      <w:start w:val="3"/>
      <w:numFmt w:val="chineseCounting"/>
      <w:suff w:val="nothing"/>
      <w:lvlText w:val="（%1）"/>
      <w:lvlJc w:val="left"/>
      <w:rPr>
        <w:rFonts w:hint="eastAsia"/>
      </w:rPr>
    </w:lvl>
  </w:abstractNum>
  <w:abstractNum w:abstractNumId="5">
    <w:nsid w:val="DFCA7B89"/>
    <w:multiLevelType w:val="singleLevel"/>
    <w:tmpl w:val="DFCA7B89"/>
    <w:lvl w:ilvl="0" w:tentative="0">
      <w:start w:val="11"/>
      <w:numFmt w:val="decimal"/>
      <w:suff w:val="nothing"/>
      <w:lvlText w:val="%1、"/>
      <w:lvlJc w:val="left"/>
    </w:lvl>
  </w:abstractNum>
  <w:abstractNum w:abstractNumId="6">
    <w:nsid w:val="FE99EB40"/>
    <w:multiLevelType w:val="singleLevel"/>
    <w:tmpl w:val="FE99EB40"/>
    <w:lvl w:ilvl="0" w:tentative="0">
      <w:start w:val="1"/>
      <w:numFmt w:val="decimal"/>
      <w:suff w:val="nothing"/>
      <w:lvlText w:val="%1、"/>
      <w:lvlJc w:val="left"/>
    </w:lvl>
  </w:abstractNum>
  <w:abstractNum w:abstractNumId="7">
    <w:nsid w:val="1729926F"/>
    <w:multiLevelType w:val="singleLevel"/>
    <w:tmpl w:val="1729926F"/>
    <w:lvl w:ilvl="0" w:tentative="0">
      <w:start w:val="15"/>
      <w:numFmt w:val="decimal"/>
      <w:suff w:val="nothing"/>
      <w:lvlText w:val="%1、"/>
      <w:lvlJc w:val="left"/>
    </w:lvl>
  </w:abstractNum>
  <w:num w:numId="1">
    <w:abstractNumId w:val="4"/>
  </w:num>
  <w:num w:numId="2">
    <w:abstractNumId w:val="3"/>
  </w:num>
  <w:num w:numId="3">
    <w:abstractNumId w:val="2"/>
  </w:num>
  <w:num w:numId="4">
    <w:abstractNumId w:val="5"/>
  </w:num>
  <w:num w:numId="5">
    <w:abstractNumId w:val="7"/>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wMTZkYjJhNDNkOTBmZmUwY2VlZmY0YzM4Y2E1NTYifQ=="/>
  </w:docVars>
  <w:rsids>
    <w:rsidRoot w:val="53B52B8D"/>
    <w:rsid w:val="03697EB1"/>
    <w:rsid w:val="03AF54B4"/>
    <w:rsid w:val="04D96B7B"/>
    <w:rsid w:val="0539755F"/>
    <w:rsid w:val="06125575"/>
    <w:rsid w:val="06143EE9"/>
    <w:rsid w:val="078F2404"/>
    <w:rsid w:val="07E76E41"/>
    <w:rsid w:val="087F7A0D"/>
    <w:rsid w:val="09313374"/>
    <w:rsid w:val="09C0632E"/>
    <w:rsid w:val="0A7764F5"/>
    <w:rsid w:val="0ABF0B50"/>
    <w:rsid w:val="0D5D46C8"/>
    <w:rsid w:val="0D6F1E12"/>
    <w:rsid w:val="0DBB4E05"/>
    <w:rsid w:val="0E366D1F"/>
    <w:rsid w:val="0E8325FF"/>
    <w:rsid w:val="10185D3E"/>
    <w:rsid w:val="11C146F4"/>
    <w:rsid w:val="12CC5D11"/>
    <w:rsid w:val="13F85C12"/>
    <w:rsid w:val="140F0F70"/>
    <w:rsid w:val="14BB6070"/>
    <w:rsid w:val="158E1E7F"/>
    <w:rsid w:val="15E10F3B"/>
    <w:rsid w:val="15F52828"/>
    <w:rsid w:val="17006DE2"/>
    <w:rsid w:val="177F50ED"/>
    <w:rsid w:val="182D0CF5"/>
    <w:rsid w:val="186D7445"/>
    <w:rsid w:val="18BE7B6B"/>
    <w:rsid w:val="191F41A5"/>
    <w:rsid w:val="1AC615D7"/>
    <w:rsid w:val="1AD81468"/>
    <w:rsid w:val="1B48577A"/>
    <w:rsid w:val="1B7B536E"/>
    <w:rsid w:val="1E1662DB"/>
    <w:rsid w:val="1ECD169E"/>
    <w:rsid w:val="1FCF7B02"/>
    <w:rsid w:val="20813A18"/>
    <w:rsid w:val="22C0575A"/>
    <w:rsid w:val="23B402AC"/>
    <w:rsid w:val="23FA0B3C"/>
    <w:rsid w:val="2477696A"/>
    <w:rsid w:val="24AE4614"/>
    <w:rsid w:val="28373807"/>
    <w:rsid w:val="28BD4674"/>
    <w:rsid w:val="28C02C54"/>
    <w:rsid w:val="29B83729"/>
    <w:rsid w:val="2A992557"/>
    <w:rsid w:val="2BA549BA"/>
    <w:rsid w:val="2C546892"/>
    <w:rsid w:val="2C587221"/>
    <w:rsid w:val="2C646F21"/>
    <w:rsid w:val="2C6D475F"/>
    <w:rsid w:val="2D3222FC"/>
    <w:rsid w:val="304F71B0"/>
    <w:rsid w:val="311A3CC6"/>
    <w:rsid w:val="312209E3"/>
    <w:rsid w:val="32616D0F"/>
    <w:rsid w:val="32AB0105"/>
    <w:rsid w:val="335F4CA8"/>
    <w:rsid w:val="33E31994"/>
    <w:rsid w:val="33FD73BE"/>
    <w:rsid w:val="34A67F5D"/>
    <w:rsid w:val="34B66C57"/>
    <w:rsid w:val="34DA71E3"/>
    <w:rsid w:val="35B156CE"/>
    <w:rsid w:val="37B86B3A"/>
    <w:rsid w:val="37F22108"/>
    <w:rsid w:val="37FF58F9"/>
    <w:rsid w:val="38BB6528"/>
    <w:rsid w:val="399B316C"/>
    <w:rsid w:val="3A416A11"/>
    <w:rsid w:val="3A887929"/>
    <w:rsid w:val="3B5A188F"/>
    <w:rsid w:val="3D5B69C0"/>
    <w:rsid w:val="3E8A2015"/>
    <w:rsid w:val="3EFA0F7E"/>
    <w:rsid w:val="3F345F70"/>
    <w:rsid w:val="4063594D"/>
    <w:rsid w:val="409E2429"/>
    <w:rsid w:val="41387CF9"/>
    <w:rsid w:val="41843BA3"/>
    <w:rsid w:val="425A6C48"/>
    <w:rsid w:val="43F32881"/>
    <w:rsid w:val="448F7B6F"/>
    <w:rsid w:val="449A2CFC"/>
    <w:rsid w:val="4518018F"/>
    <w:rsid w:val="463818EB"/>
    <w:rsid w:val="47007696"/>
    <w:rsid w:val="473F33F0"/>
    <w:rsid w:val="482B354A"/>
    <w:rsid w:val="48BA4A0D"/>
    <w:rsid w:val="492A45BA"/>
    <w:rsid w:val="49AB49AC"/>
    <w:rsid w:val="4DDF61D7"/>
    <w:rsid w:val="4E3259FA"/>
    <w:rsid w:val="4F3501F1"/>
    <w:rsid w:val="50041729"/>
    <w:rsid w:val="5018600B"/>
    <w:rsid w:val="50D14729"/>
    <w:rsid w:val="51C603FC"/>
    <w:rsid w:val="523146F6"/>
    <w:rsid w:val="52CC0CFF"/>
    <w:rsid w:val="530206DE"/>
    <w:rsid w:val="53B52B8D"/>
    <w:rsid w:val="55357DC1"/>
    <w:rsid w:val="570728B3"/>
    <w:rsid w:val="577A6482"/>
    <w:rsid w:val="578A6C00"/>
    <w:rsid w:val="584B5F97"/>
    <w:rsid w:val="58E22375"/>
    <w:rsid w:val="59007663"/>
    <w:rsid w:val="5A342919"/>
    <w:rsid w:val="5A867B53"/>
    <w:rsid w:val="5BD22D85"/>
    <w:rsid w:val="5C2B4910"/>
    <w:rsid w:val="5C5476A0"/>
    <w:rsid w:val="5DDB7007"/>
    <w:rsid w:val="5FA512DF"/>
    <w:rsid w:val="639F1C85"/>
    <w:rsid w:val="63C21EEC"/>
    <w:rsid w:val="64175648"/>
    <w:rsid w:val="652B49C7"/>
    <w:rsid w:val="655E1BB6"/>
    <w:rsid w:val="65DA1AC6"/>
    <w:rsid w:val="66412B9B"/>
    <w:rsid w:val="68C025E9"/>
    <w:rsid w:val="68E61D1B"/>
    <w:rsid w:val="6A24086F"/>
    <w:rsid w:val="6ADD3BF0"/>
    <w:rsid w:val="6AE26E8E"/>
    <w:rsid w:val="6B1601CD"/>
    <w:rsid w:val="6B2425F6"/>
    <w:rsid w:val="6CAE4CE7"/>
    <w:rsid w:val="6EEA78EE"/>
    <w:rsid w:val="6F2A513C"/>
    <w:rsid w:val="70340311"/>
    <w:rsid w:val="70FA0CCB"/>
    <w:rsid w:val="710B2F53"/>
    <w:rsid w:val="718F1599"/>
    <w:rsid w:val="71AC5A26"/>
    <w:rsid w:val="72EB47D9"/>
    <w:rsid w:val="74944466"/>
    <w:rsid w:val="75D4477C"/>
    <w:rsid w:val="76161FEA"/>
    <w:rsid w:val="77EC7CE1"/>
    <w:rsid w:val="77F79321"/>
    <w:rsid w:val="7A420DE5"/>
    <w:rsid w:val="7A5769BE"/>
    <w:rsid w:val="7A75247B"/>
    <w:rsid w:val="7D0E7AD6"/>
    <w:rsid w:val="7DBF4A3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560"/>
      <w:jc w:val="both"/>
    </w:pPr>
    <w:rPr>
      <w:rFonts w:ascii="仿宋" w:hAnsi="仿宋" w:eastAsia="仿宋_GB2312" w:cstheme="minorBidi"/>
      <w:kern w:val="2"/>
      <w:sz w:val="28"/>
      <w:szCs w:val="32"/>
      <w:u w:color="000000"/>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3">
    <w:name w:val="annotation text"/>
    <w:basedOn w:val="1"/>
    <w:qFormat/>
    <w:uiPriority w:val="0"/>
    <w:pPr>
      <w:jc w:val="left"/>
    </w:pPr>
  </w:style>
  <w:style w:type="paragraph" w:styleId="4">
    <w:name w:val="Body Text"/>
    <w:basedOn w:val="1"/>
    <w:qFormat/>
    <w:uiPriority w:val="0"/>
    <w:pPr>
      <w:spacing w:after="120" w:afterLines="0" w:afterAutospacing="0"/>
    </w:pPr>
  </w:style>
  <w:style w:type="paragraph" w:styleId="5">
    <w:name w:val="Body Text Indent"/>
    <w:basedOn w:val="1"/>
    <w:next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正文 Char"/>
    <w:link w:val="16"/>
    <w:qFormat/>
    <w:uiPriority w:val="0"/>
    <w:rPr>
      <w:rFonts w:ascii="仿宋_GB2312" w:hAnsi="Calibri" w:eastAsia="宋体" w:cs="Times New Roman"/>
      <w:kern w:val="0"/>
      <w:sz w:val="24"/>
      <w:szCs w:val="24"/>
      <w:lang w:val="zh-CN"/>
    </w:rPr>
  </w:style>
  <w:style w:type="paragraph" w:customStyle="1" w:styleId="16">
    <w:name w:val="．正文"/>
    <w:basedOn w:val="1"/>
    <w:link w:val="15"/>
    <w:qFormat/>
    <w:uiPriority w:val="0"/>
    <w:pPr>
      <w:spacing w:line="360" w:lineRule="auto"/>
      <w:ind w:firstLine="202" w:firstLineChars="202"/>
    </w:pPr>
    <w:rPr>
      <w:rFonts w:ascii="仿宋_GB2312" w:hAnsi="Calibri" w:eastAsia="宋体" w:cs="Times New Roman"/>
      <w:kern w:val="0"/>
      <w:sz w:val="24"/>
      <w:szCs w:val="24"/>
      <w:lang w:val="zh-CN"/>
    </w:rPr>
  </w:style>
  <w:style w:type="character" w:customStyle="1" w:styleId="17">
    <w:name w:val="NormalCharacter"/>
    <w:qFormat/>
    <w:uiPriority w:val="99"/>
    <w:rPr>
      <w:rFonts w:ascii="Tahoma" w:hAnsi="Tahoma"/>
    </w:rPr>
  </w:style>
  <w:style w:type="character" w:customStyle="1" w:styleId="18">
    <w:name w:val="font11"/>
    <w:basedOn w:val="12"/>
    <w:qFormat/>
    <w:uiPriority w:val="0"/>
    <w:rPr>
      <w:rFonts w:hint="eastAsia" w:ascii="宋体" w:hAnsi="宋体" w:eastAsia="宋体" w:cs="宋体"/>
      <w:color w:val="0A82E5"/>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141</Pages>
  <Words>84584</Words>
  <Characters>93119</Characters>
  <Lines>0</Lines>
  <Paragraphs>0</Paragraphs>
  <TotalTime>40</TotalTime>
  <ScaleCrop>false</ScaleCrop>
  <LinksUpToDate>false</LinksUpToDate>
  <CharactersWithSpaces>94340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WPS_1592812444</cp:lastModifiedBy>
  <cp:lastPrinted>2023-07-11T10:49:00Z</cp:lastPrinted>
  <dcterms:modified xsi:type="dcterms:W3CDTF">2023-07-11T11:26:26Z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F5941E3077C7436DB1DAF32E820A68CF_13</vt:lpwstr>
  </property>
</Properties>
</file>