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E/>
        <w:autoSpaceDN/>
        <w:bidi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三明市第三产业加快发展行动计划</w:t>
      </w:r>
    </w:p>
    <w:p>
      <w:pPr>
        <w:keepNext w:val="0"/>
        <w:keepLines w:val="0"/>
        <w:pageBreakBefore w:val="0"/>
        <w:kinsoku/>
        <w:wordWrap/>
        <w:overflowPunct/>
        <w:topLinePunct w:val="0"/>
        <w:autoSpaceDE/>
        <w:autoSpaceDN/>
        <w:bidi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（2022-2025年）</w:t>
      </w:r>
    </w:p>
    <w:p>
      <w:pPr>
        <w:keepNext w:val="0"/>
        <w:keepLines w:val="0"/>
        <w:pageBreakBefore w:val="0"/>
        <w:kinsoku/>
        <w:wordWrap/>
        <w:overflowPunct/>
        <w:topLinePunct w:val="0"/>
        <w:autoSpaceDE/>
        <w:autoSpaceDN/>
        <w:bidi w:val="0"/>
        <w:spacing w:line="600" w:lineRule="exact"/>
        <w:jc w:val="center"/>
        <w:rPr>
          <w:rFonts w:ascii="楷体" w:hAnsi="楷体" w:eastAsia="楷体" w:cs="楷体"/>
          <w:b/>
          <w:bCs/>
          <w:color w:val="auto"/>
          <w:sz w:val="36"/>
          <w:szCs w:val="36"/>
        </w:rPr>
      </w:pPr>
      <w:r>
        <w:rPr>
          <w:rFonts w:hint="eastAsia" w:ascii="楷体" w:hAnsi="楷体" w:eastAsia="楷体" w:cs="楷体"/>
          <w:b/>
          <w:bCs/>
          <w:color w:val="auto"/>
          <w:sz w:val="36"/>
          <w:szCs w:val="36"/>
        </w:rPr>
        <w:t>(</w:t>
      </w:r>
      <w:r>
        <w:rPr>
          <w:rFonts w:hint="eastAsia" w:ascii="楷体" w:hAnsi="楷体" w:eastAsia="楷体" w:cs="楷体"/>
          <w:b/>
          <w:bCs/>
          <w:color w:val="auto"/>
          <w:sz w:val="36"/>
          <w:szCs w:val="36"/>
          <w:lang w:eastAsia="zh-CN"/>
        </w:rPr>
        <w:t>征求意见</w:t>
      </w:r>
      <w:r>
        <w:rPr>
          <w:rFonts w:hint="eastAsia" w:ascii="楷体" w:hAnsi="楷体" w:eastAsia="楷体" w:cs="楷体"/>
          <w:b/>
          <w:bCs/>
          <w:color w:val="auto"/>
          <w:sz w:val="36"/>
          <w:szCs w:val="36"/>
        </w:rPr>
        <w:t>稿)</w:t>
      </w:r>
    </w:p>
    <w:p>
      <w:pPr>
        <w:keepNext w:val="0"/>
        <w:keepLines w:val="0"/>
        <w:pageBreakBefore w:val="0"/>
        <w:kinsoku/>
        <w:wordWrap/>
        <w:overflowPunct/>
        <w:topLinePunct w:val="0"/>
        <w:autoSpaceDE/>
        <w:autoSpaceDN/>
        <w:bidi w:val="0"/>
        <w:spacing w:line="600" w:lineRule="exact"/>
        <w:rPr>
          <w:rFonts w:ascii="黑体" w:hAnsi="黑体" w:eastAsia="黑体"/>
          <w:b/>
          <w:bCs/>
          <w:color w:val="auto"/>
          <w:sz w:val="36"/>
          <w:szCs w:val="36"/>
        </w:rPr>
      </w:pPr>
    </w:p>
    <w:p>
      <w:pPr>
        <w:keepNext w:val="0"/>
        <w:keepLines w:val="0"/>
        <w:pageBreakBefore w:val="0"/>
        <w:kinsoku/>
        <w:wordWrap/>
        <w:overflowPunct/>
        <w:topLinePunct w:val="0"/>
        <w:autoSpaceDE/>
        <w:autoSpaceDN/>
        <w:bidi w:val="0"/>
        <w:spacing w:line="600" w:lineRule="exact"/>
        <w:ind w:firstLine="720" w:firstLineChars="200"/>
        <w:rPr>
          <w:rFonts w:ascii="仿宋_GB2312" w:hAnsi="仿宋_GB2312" w:eastAsia="仿宋_GB2312" w:cs="仿宋_GB2312"/>
          <w:color w:val="auto"/>
          <w:sz w:val="36"/>
          <w:szCs w:val="36"/>
        </w:rPr>
      </w:pPr>
      <w:r>
        <w:rPr>
          <w:rFonts w:hint="eastAsia" w:ascii="宋体" w:hAnsi="宋体" w:eastAsia="仿宋_GB2312"/>
          <w:color w:val="auto"/>
          <w:sz w:val="36"/>
          <w:szCs w:val="36"/>
        </w:rPr>
        <w:t>为落实</w:t>
      </w:r>
      <w:r>
        <w:rPr>
          <w:rFonts w:hint="eastAsia" w:ascii="仿宋_GB2312" w:hAnsi="仿宋_GB2312" w:eastAsia="仿宋_GB2312" w:cs="仿宋_GB2312"/>
          <w:color w:val="auto"/>
          <w:sz w:val="36"/>
          <w:szCs w:val="36"/>
        </w:rPr>
        <w:t>市委、市政府提出的</w:t>
      </w:r>
      <w:r>
        <w:rPr>
          <w:rFonts w:hint="eastAsia" w:ascii="宋体" w:hAnsi="宋体" w:eastAsia="仿宋_GB2312"/>
          <w:color w:val="auto"/>
          <w:sz w:val="36"/>
          <w:szCs w:val="36"/>
        </w:rPr>
        <w:t>“稳一优二进三”</w:t>
      </w:r>
      <w:r>
        <w:rPr>
          <w:rFonts w:hint="eastAsia" w:ascii="仿宋_GB2312" w:hAnsi="仿宋_GB2312" w:eastAsia="仿宋_GB2312" w:cs="仿宋_GB2312"/>
          <w:color w:val="auto"/>
          <w:sz w:val="36"/>
          <w:szCs w:val="36"/>
        </w:rPr>
        <w:t>三次产业发展</w:t>
      </w:r>
      <w:r>
        <w:rPr>
          <w:rFonts w:hint="eastAsia" w:ascii="宋体" w:hAnsi="宋体" w:eastAsia="仿宋_GB2312"/>
          <w:color w:val="auto"/>
          <w:sz w:val="36"/>
          <w:szCs w:val="36"/>
        </w:rPr>
        <w:t>总体部署</w:t>
      </w:r>
      <w:r>
        <w:rPr>
          <w:rFonts w:hint="eastAsia" w:ascii="仿宋_GB2312" w:hAnsi="仿宋_GB2312" w:eastAsia="仿宋_GB2312" w:cs="仿宋_GB2312"/>
          <w:color w:val="auto"/>
          <w:sz w:val="36"/>
          <w:szCs w:val="36"/>
        </w:rPr>
        <w:t>，推进我市第三产业高质量发展，特制定本行动计划。</w:t>
      </w:r>
    </w:p>
    <w:p>
      <w:pPr>
        <w:keepNext w:val="0"/>
        <w:keepLines w:val="0"/>
        <w:pageBreakBefore w:val="0"/>
        <w:kinsoku/>
        <w:wordWrap/>
        <w:overflowPunct/>
        <w:topLinePunct w:val="0"/>
        <w:autoSpaceDE/>
        <w:autoSpaceDN/>
        <w:bidi w:val="0"/>
        <w:spacing w:line="600" w:lineRule="exact"/>
        <w:ind w:firstLine="720" w:firstLineChars="200"/>
        <w:rPr>
          <w:rFonts w:ascii="黑体" w:hAnsi="黑体" w:eastAsia="黑体"/>
          <w:color w:val="auto"/>
          <w:sz w:val="36"/>
          <w:szCs w:val="36"/>
        </w:rPr>
      </w:pPr>
      <w:r>
        <w:rPr>
          <w:rFonts w:hint="eastAsia" w:ascii="黑体" w:hAnsi="黑体" w:eastAsia="黑体"/>
          <w:color w:val="auto"/>
          <w:sz w:val="36"/>
          <w:szCs w:val="36"/>
        </w:rPr>
        <w:t>一、总体要求</w:t>
      </w:r>
    </w:p>
    <w:p>
      <w:pPr>
        <w:keepNext w:val="0"/>
        <w:keepLines w:val="0"/>
        <w:pageBreakBefore w:val="0"/>
        <w:kinsoku/>
        <w:wordWrap/>
        <w:overflowPunct/>
        <w:topLinePunct w:val="0"/>
        <w:autoSpaceDE/>
        <w:autoSpaceDN/>
        <w:bidi w:val="0"/>
        <w:spacing w:line="600" w:lineRule="exact"/>
        <w:ind w:firstLine="720" w:firstLineChars="200"/>
        <w:rPr>
          <w:rFonts w:ascii="仿宋_GB2312" w:hAnsi="仿宋_GB2312" w:eastAsia="仿宋_GB2312" w:cs="仿宋_GB2312"/>
          <w:color w:val="auto"/>
          <w:sz w:val="36"/>
          <w:szCs w:val="36"/>
        </w:rPr>
      </w:pPr>
      <w:r>
        <w:rPr>
          <w:rFonts w:hint="eastAsia" w:ascii="宋体" w:hAnsi="宋体" w:eastAsia="仿宋_GB2312"/>
          <w:color w:val="auto"/>
          <w:sz w:val="36"/>
          <w:szCs w:val="36"/>
        </w:rPr>
        <w:t>认真学习贯彻习近平总书记来闽来明考察重要讲话精神，深入实施“提高效率、提升效能、提增效益”行动，</w:t>
      </w:r>
      <w:r>
        <w:rPr>
          <w:rFonts w:hint="eastAsia" w:ascii="仿宋_GB2312" w:hAnsi="仿宋_GB2312" w:eastAsia="仿宋_GB2312" w:cs="仿宋_GB2312"/>
          <w:color w:val="auto"/>
          <w:sz w:val="36"/>
          <w:szCs w:val="36"/>
        </w:rPr>
        <w:t>聚焦我市</w:t>
      </w:r>
      <w:r>
        <w:rPr>
          <w:rFonts w:hint="eastAsia" w:ascii="宋体" w:hAnsi="宋体" w:eastAsia="仿宋_GB2312"/>
          <w:color w:val="auto"/>
          <w:sz w:val="36"/>
          <w:szCs w:val="36"/>
        </w:rPr>
        <w:t>第三产业重点领域和发展短板，加快产业结构调整和规划布局，着力发</w:t>
      </w:r>
      <w:r>
        <w:rPr>
          <w:rFonts w:hint="eastAsia" w:ascii="仿宋_GB2312" w:hAnsi="仿宋_GB2312" w:eastAsia="仿宋_GB2312" w:cs="仿宋_GB2312"/>
          <w:color w:val="auto"/>
          <w:sz w:val="36"/>
          <w:szCs w:val="36"/>
        </w:rPr>
        <w:t>展</w:t>
      </w:r>
      <w:r>
        <w:rPr>
          <w:rFonts w:hint="eastAsia" w:ascii="仿宋_GB2312" w:hAnsi="仿宋_GB2312" w:eastAsia="仿宋_GB2312" w:cs="仿宋_GB2312"/>
          <w:b/>
          <w:bCs/>
          <w:color w:val="auto"/>
          <w:sz w:val="36"/>
          <w:szCs w:val="36"/>
        </w:rPr>
        <w:t>商贸流通、现代物流、文旅康养、现代金融、房地产业、商务服务、养老服务</w:t>
      </w:r>
      <w:r>
        <w:rPr>
          <w:rFonts w:hint="eastAsia" w:ascii="仿宋_GB2312" w:hAnsi="仿宋_GB2312" w:eastAsia="仿宋_GB2312" w:cs="仿宋_GB2312"/>
          <w:color w:val="auto"/>
          <w:sz w:val="36"/>
          <w:szCs w:val="36"/>
        </w:rPr>
        <w:t>等重点行业，加快建设一批集聚载体，推进一批重点项目建设，做大做强重点企业，推动第三产业提质增效，实现规模扩大、结构优化、比重提高、水平提升，</w:t>
      </w:r>
      <w:r>
        <w:rPr>
          <w:rFonts w:hint="eastAsia" w:ascii="宋体" w:hAnsi="宋体" w:eastAsia="仿宋_GB2312"/>
          <w:color w:val="auto"/>
          <w:sz w:val="36"/>
          <w:szCs w:val="36"/>
        </w:rPr>
        <w:t>提升</w:t>
      </w:r>
      <w:r>
        <w:rPr>
          <w:rFonts w:hint="eastAsia" w:ascii="仿宋_GB2312" w:hAnsi="仿宋_GB2312" w:eastAsia="仿宋_GB2312" w:cs="仿宋_GB2312"/>
          <w:color w:val="auto"/>
          <w:sz w:val="36"/>
          <w:szCs w:val="36"/>
        </w:rPr>
        <w:t>第三产业对全市经济增长的引领和支撑作用</w:t>
      </w:r>
      <w:r>
        <w:rPr>
          <w:rFonts w:hint="eastAsia" w:ascii="宋体" w:hAnsi="宋体" w:eastAsia="仿宋_GB2312"/>
          <w:color w:val="auto"/>
          <w:sz w:val="36"/>
          <w:szCs w:val="36"/>
        </w:rPr>
        <w:t>。</w:t>
      </w:r>
    </w:p>
    <w:p>
      <w:pPr>
        <w:keepNext w:val="0"/>
        <w:keepLines w:val="0"/>
        <w:pageBreakBefore w:val="0"/>
        <w:kinsoku/>
        <w:wordWrap/>
        <w:overflowPunct/>
        <w:topLinePunct w:val="0"/>
        <w:autoSpaceDE/>
        <w:autoSpaceDN/>
        <w:bidi w:val="0"/>
        <w:spacing w:line="600" w:lineRule="exact"/>
        <w:ind w:firstLine="720" w:firstLineChars="200"/>
        <w:rPr>
          <w:rFonts w:ascii="黑体" w:hAnsi="黑体" w:eastAsia="黑体"/>
          <w:color w:val="auto"/>
          <w:sz w:val="36"/>
          <w:szCs w:val="36"/>
        </w:rPr>
      </w:pPr>
      <w:r>
        <w:rPr>
          <w:rFonts w:hint="eastAsia" w:ascii="黑体" w:hAnsi="黑体" w:eastAsia="黑体"/>
          <w:color w:val="auto"/>
          <w:sz w:val="36"/>
          <w:szCs w:val="36"/>
        </w:rPr>
        <w:t>二、目标任务和重点方向</w:t>
      </w:r>
    </w:p>
    <w:p>
      <w:pPr>
        <w:keepNext w:val="0"/>
        <w:keepLines w:val="0"/>
        <w:pageBreakBefore w:val="0"/>
        <w:kinsoku/>
        <w:wordWrap/>
        <w:overflowPunct/>
        <w:topLinePunct w:val="0"/>
        <w:autoSpaceDE/>
        <w:autoSpaceDN/>
        <w:bidi w:val="0"/>
        <w:spacing w:line="600" w:lineRule="exact"/>
        <w:ind w:firstLine="720" w:firstLineChars="200"/>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通过努力，到2025年全市第三产业增加值达到1600亿元，年均增长9.3%以上。全市每年培育新增限额以上商贸企业120家以上、规模以上服务业企业80家以上，到2025年，限额以上商贸企业</w:t>
      </w:r>
      <w:r>
        <w:rPr>
          <w:rFonts w:hint="eastAsia" w:ascii="仿宋_GB2312" w:hAnsi="仿宋_GB2312" w:eastAsia="仿宋_GB2312" w:cs="仿宋_GB2312"/>
          <w:color w:val="auto"/>
          <w:sz w:val="36"/>
          <w:szCs w:val="36"/>
          <w:lang w:eastAsia="zh-CN"/>
        </w:rPr>
        <w:t>达到</w:t>
      </w:r>
      <w:r>
        <w:rPr>
          <w:rFonts w:hint="eastAsia" w:ascii="仿宋_GB2312" w:hAnsi="仿宋_GB2312" w:eastAsia="仿宋_GB2312" w:cs="仿宋_GB2312"/>
          <w:color w:val="auto"/>
          <w:sz w:val="36"/>
          <w:szCs w:val="36"/>
          <w:lang w:val="en-US" w:eastAsia="zh-CN"/>
        </w:rPr>
        <w:t>16</w:t>
      </w:r>
      <w:r>
        <w:rPr>
          <w:rFonts w:hint="eastAsia" w:ascii="仿宋_GB2312" w:hAnsi="仿宋_GB2312" w:eastAsia="仿宋_GB2312" w:cs="仿宋_GB2312"/>
          <w:color w:val="auto"/>
          <w:sz w:val="36"/>
          <w:szCs w:val="36"/>
        </w:rPr>
        <w:t>00家</w:t>
      </w:r>
      <w:r>
        <w:rPr>
          <w:rFonts w:hint="eastAsia" w:ascii="仿宋_GB2312" w:hAnsi="仿宋_GB2312" w:eastAsia="仿宋_GB2312" w:cs="仿宋_GB2312"/>
          <w:color w:val="auto"/>
          <w:sz w:val="36"/>
          <w:szCs w:val="36"/>
          <w:lang w:eastAsia="zh-CN"/>
        </w:rPr>
        <w:t>以上</w:t>
      </w:r>
      <w:r>
        <w:rPr>
          <w:rFonts w:hint="eastAsia" w:ascii="仿宋_GB2312" w:hAnsi="仿宋_GB2312" w:eastAsia="仿宋_GB2312" w:cs="仿宋_GB2312"/>
          <w:color w:val="auto"/>
          <w:sz w:val="36"/>
          <w:szCs w:val="36"/>
        </w:rPr>
        <w:t>、</w:t>
      </w:r>
      <w:r>
        <w:rPr>
          <w:rFonts w:hint="eastAsia" w:ascii="仿宋_GB2312" w:hAnsi="仿宋_GB2312" w:eastAsia="仿宋_GB2312" w:cs="仿宋_GB2312"/>
          <w:color w:val="auto"/>
          <w:sz w:val="36"/>
          <w:szCs w:val="36"/>
        </w:rPr>
        <w:t>规模以上服务业企业</w:t>
      </w:r>
      <w:r>
        <w:rPr>
          <w:rFonts w:hint="eastAsia" w:ascii="仿宋_GB2312" w:hAnsi="仿宋_GB2312" w:eastAsia="仿宋_GB2312" w:cs="仿宋_GB2312"/>
          <w:color w:val="auto"/>
          <w:sz w:val="36"/>
          <w:szCs w:val="36"/>
          <w:lang w:eastAsia="zh-CN"/>
        </w:rPr>
        <w:t>达到</w:t>
      </w:r>
      <w:r>
        <w:rPr>
          <w:rFonts w:hint="eastAsia" w:ascii="仿宋_GB2312" w:hAnsi="仿宋_GB2312" w:eastAsia="仿宋_GB2312" w:cs="仿宋_GB2312"/>
          <w:color w:val="auto"/>
          <w:sz w:val="36"/>
          <w:szCs w:val="36"/>
          <w:lang w:val="en-US" w:eastAsia="zh-CN"/>
        </w:rPr>
        <w:t>50</w:t>
      </w:r>
      <w:r>
        <w:rPr>
          <w:rFonts w:hint="eastAsia" w:ascii="仿宋_GB2312" w:hAnsi="仿宋_GB2312" w:eastAsia="仿宋_GB2312" w:cs="仿宋_GB2312"/>
          <w:color w:val="auto"/>
          <w:sz w:val="36"/>
          <w:szCs w:val="36"/>
        </w:rPr>
        <w:t>0家</w:t>
      </w:r>
      <w:r>
        <w:rPr>
          <w:rFonts w:hint="eastAsia" w:ascii="仿宋_GB2312" w:hAnsi="仿宋_GB2312" w:eastAsia="仿宋_GB2312" w:cs="仿宋_GB2312"/>
          <w:color w:val="auto"/>
          <w:sz w:val="36"/>
          <w:szCs w:val="36"/>
          <w:lang w:eastAsia="zh-CN"/>
        </w:rPr>
        <w:t>以上</w:t>
      </w:r>
      <w:r>
        <w:rPr>
          <w:rFonts w:hint="eastAsia" w:ascii="仿宋_GB2312" w:hAnsi="仿宋_GB2312" w:eastAsia="仿宋_GB2312" w:cs="仿宋_GB2312"/>
          <w:color w:val="auto"/>
          <w:sz w:val="36"/>
          <w:szCs w:val="36"/>
        </w:rPr>
        <w:t>。全市第三产业增加值占地区生产总值比重由2021年的38.1%提升到42%以上。</w:t>
      </w:r>
    </w:p>
    <w:p>
      <w:pPr>
        <w:pStyle w:val="18"/>
        <w:keepNext w:val="0"/>
        <w:keepLines w:val="0"/>
        <w:pageBreakBefore w:val="0"/>
        <w:kinsoku/>
        <w:wordWrap/>
        <w:overflowPunct/>
        <w:topLinePunct w:val="0"/>
        <w:autoSpaceDE/>
        <w:autoSpaceDN/>
        <w:bidi w:val="0"/>
        <w:spacing w:after="0" w:line="600" w:lineRule="exact"/>
        <w:ind w:left="0" w:leftChars="0" w:firstLine="723" w:firstLineChars="200"/>
        <w:rPr>
          <w:rFonts w:ascii="楷体_GB2312" w:hAnsi="楷体_GB2312" w:eastAsia="楷体_GB2312" w:cs="楷体_GB2312"/>
          <w:b/>
          <w:bCs/>
          <w:color w:val="auto"/>
          <w:sz w:val="36"/>
          <w:szCs w:val="36"/>
          <w:lang w:eastAsia="zh-CN"/>
        </w:rPr>
      </w:pPr>
      <w:r>
        <w:rPr>
          <w:rFonts w:hint="eastAsia" w:ascii="楷体_GB2312" w:hAnsi="楷体_GB2312" w:eastAsia="楷体_GB2312" w:cs="楷体_GB2312"/>
          <w:b/>
          <w:bCs/>
          <w:color w:val="auto"/>
          <w:sz w:val="36"/>
          <w:szCs w:val="36"/>
          <w:lang w:eastAsia="zh-CN"/>
        </w:rPr>
        <w:t>（一）商贸流通业</w:t>
      </w:r>
    </w:p>
    <w:p>
      <w:pPr>
        <w:pStyle w:val="18"/>
        <w:keepNext w:val="0"/>
        <w:keepLines w:val="0"/>
        <w:pageBreakBefore w:val="0"/>
        <w:kinsoku/>
        <w:wordWrap/>
        <w:overflowPunct/>
        <w:topLinePunct w:val="0"/>
        <w:autoSpaceDE/>
        <w:autoSpaceDN/>
        <w:bidi w:val="0"/>
        <w:spacing w:after="0" w:line="600" w:lineRule="exact"/>
        <w:ind w:left="0" w:leftChars="0" w:firstLine="723" w:firstLineChars="200"/>
        <w:rPr>
          <w:rFonts w:ascii="仿宋_GB2312" w:hAnsi="仿宋_GB2312" w:eastAsia="仿宋_GB2312" w:cs="仿宋_GB2312"/>
          <w:bCs/>
          <w:color w:val="auto"/>
          <w:kern w:val="2"/>
          <w:sz w:val="36"/>
          <w:szCs w:val="36"/>
          <w:lang w:eastAsia="zh-CN"/>
        </w:rPr>
      </w:pPr>
      <w:r>
        <w:rPr>
          <w:rFonts w:hint="eastAsia" w:ascii="仿宋_GB2312" w:hAnsi="仿宋_GB2312" w:eastAsia="仿宋_GB2312" w:cs="仿宋_GB2312"/>
          <w:b/>
          <w:bCs/>
          <w:color w:val="auto"/>
          <w:sz w:val="36"/>
          <w:szCs w:val="36"/>
          <w:lang w:eastAsia="zh-CN"/>
        </w:rPr>
        <w:t>目标任务：</w:t>
      </w:r>
      <w:r>
        <w:rPr>
          <w:rFonts w:hint="eastAsia" w:ascii="仿宋_GB2312" w:hAnsi="仿宋_GB2312" w:eastAsia="仿宋_GB2312" w:cs="仿宋_GB2312"/>
          <w:color w:val="auto"/>
          <w:sz w:val="36"/>
          <w:szCs w:val="36"/>
          <w:lang w:eastAsia="zh-CN"/>
        </w:rPr>
        <w:t>批发和零售业增加值每年保持13.5%以上的增速，到2025年，增加值达到480亿元以上；</w:t>
      </w:r>
      <w:r>
        <w:rPr>
          <w:rFonts w:hint="eastAsia" w:ascii="仿宋_GB2312" w:hAnsi="仿宋_GB2312" w:eastAsia="仿宋_GB2312" w:cs="仿宋_GB2312"/>
          <w:bCs/>
          <w:color w:val="auto"/>
          <w:kern w:val="2"/>
          <w:sz w:val="36"/>
          <w:szCs w:val="36"/>
          <w:lang w:eastAsia="zh-CN"/>
        </w:rPr>
        <w:t>住宿业、餐饮业</w:t>
      </w:r>
      <w:r>
        <w:rPr>
          <w:rFonts w:hint="eastAsia" w:ascii="仿宋_GB2312" w:hAnsi="仿宋_GB2312" w:eastAsia="仿宋_GB2312" w:cs="仿宋_GB2312"/>
          <w:color w:val="auto"/>
          <w:kern w:val="2"/>
          <w:sz w:val="36"/>
          <w:szCs w:val="36"/>
          <w:lang w:eastAsia="zh-CN"/>
        </w:rPr>
        <w:t>增加值每年保持16%以上的增速，到2025年，增加</w:t>
      </w:r>
      <w:r>
        <w:rPr>
          <w:rFonts w:hint="eastAsia" w:ascii="仿宋_GB2312" w:hAnsi="仿宋_GB2312" w:eastAsia="仿宋_GB2312" w:cs="仿宋_GB2312"/>
          <w:bCs/>
          <w:color w:val="auto"/>
          <w:kern w:val="2"/>
          <w:sz w:val="36"/>
          <w:szCs w:val="36"/>
          <w:lang w:eastAsia="zh-CN"/>
        </w:rPr>
        <w:t>值达到100亿元以上。</w:t>
      </w:r>
    </w:p>
    <w:p>
      <w:pPr>
        <w:pStyle w:val="22"/>
        <w:keepNext w:val="0"/>
        <w:keepLines w:val="0"/>
        <w:pageBreakBefore w:val="0"/>
        <w:kinsoku/>
        <w:wordWrap/>
        <w:overflowPunct/>
        <w:topLinePunct w:val="0"/>
        <w:autoSpaceDE/>
        <w:autoSpaceDN/>
        <w:bidi w:val="0"/>
        <w:spacing w:line="600" w:lineRule="exact"/>
        <w:ind w:firstLine="723" w:firstLineChars="200"/>
        <w:jc w:val="both"/>
        <w:rPr>
          <w:rFonts w:hint="eastAsia" w:ascii="仿宋_GB2312" w:hAnsi="仿宋_GB2312" w:eastAsia="仿宋_GB2312" w:cs="仿宋_GB2312"/>
          <w:color w:val="auto"/>
          <w:kern w:val="2"/>
          <w:sz w:val="36"/>
          <w:szCs w:val="36"/>
        </w:rPr>
      </w:pPr>
      <w:r>
        <w:rPr>
          <w:rFonts w:hint="eastAsia" w:ascii="仿宋_GB2312" w:hAnsi="仿宋_GB2312" w:eastAsia="仿宋_GB2312" w:cs="仿宋_GB2312"/>
          <w:b/>
          <w:bCs/>
          <w:color w:val="auto"/>
          <w:sz w:val="36"/>
          <w:szCs w:val="36"/>
        </w:rPr>
        <w:t>重点方向：批发业：</w:t>
      </w:r>
      <w:r>
        <w:rPr>
          <w:rFonts w:hint="eastAsia" w:ascii="仿宋_GB2312" w:hAnsi="仿宋_GB2312" w:eastAsia="仿宋_GB2312" w:cs="仿宋_GB2312"/>
          <w:color w:val="auto"/>
          <w:kern w:val="2"/>
          <w:sz w:val="36"/>
          <w:szCs w:val="36"/>
        </w:rPr>
        <w:t>引导钢铁与装备制造、新材料两大工业主导产业及建材、纺织、林产等重点产业工业企业，实施</w:t>
      </w:r>
      <w:r>
        <w:rPr>
          <w:rFonts w:hint="eastAsia" w:ascii="仿宋_GB2312" w:hAnsi="仿宋_GB2312" w:eastAsia="仿宋_GB2312" w:cs="仿宋_GB2312"/>
          <w:color w:val="auto"/>
          <w:kern w:val="2"/>
          <w:sz w:val="36"/>
          <w:szCs w:val="36"/>
          <w:lang w:eastAsia="zh-CN"/>
        </w:rPr>
        <w:t>“</w:t>
      </w:r>
      <w:r>
        <w:rPr>
          <w:rFonts w:hint="eastAsia" w:ascii="仿宋_GB2312" w:hAnsi="仿宋_GB2312" w:eastAsia="仿宋_GB2312" w:cs="仿宋_GB2312"/>
          <w:color w:val="auto"/>
          <w:kern w:val="2"/>
          <w:sz w:val="36"/>
          <w:szCs w:val="36"/>
        </w:rPr>
        <w:t>工贸分离</w:t>
      </w:r>
      <w:r>
        <w:rPr>
          <w:rFonts w:hint="eastAsia" w:ascii="仿宋_GB2312" w:hAnsi="仿宋_GB2312" w:eastAsia="仿宋_GB2312" w:cs="仿宋_GB2312"/>
          <w:color w:val="auto"/>
          <w:kern w:val="2"/>
          <w:sz w:val="36"/>
          <w:szCs w:val="36"/>
          <w:lang w:eastAsia="zh-CN"/>
        </w:rPr>
        <w:t>”</w:t>
      </w:r>
      <w:r>
        <w:rPr>
          <w:rFonts w:hint="eastAsia" w:ascii="仿宋_GB2312" w:hAnsi="仿宋_GB2312" w:eastAsia="仿宋_GB2312" w:cs="仿宋_GB2312"/>
          <w:color w:val="auto"/>
          <w:kern w:val="2"/>
          <w:sz w:val="36"/>
          <w:szCs w:val="36"/>
        </w:rPr>
        <w:t>，拓展线上线下全渠道经营，发展壮大一批龙头批发企业。</w:t>
      </w:r>
      <w:r>
        <w:rPr>
          <w:rFonts w:hint="eastAsia" w:ascii="仿宋_GB2312" w:hAnsi="仿宋_GB2312" w:eastAsia="仿宋_GB2312" w:cs="仿宋_GB2312"/>
          <w:b/>
          <w:bCs/>
          <w:color w:val="auto"/>
          <w:sz w:val="36"/>
          <w:szCs w:val="36"/>
        </w:rPr>
        <w:t>零售业：</w:t>
      </w:r>
      <w:r>
        <w:rPr>
          <w:rFonts w:hint="eastAsia" w:ascii="仿宋_GB2312" w:hAnsi="仿宋_GB2312" w:eastAsia="仿宋_GB2312" w:cs="仿宋_GB2312"/>
          <w:color w:val="auto"/>
          <w:kern w:val="2"/>
          <w:sz w:val="36"/>
          <w:szCs w:val="36"/>
        </w:rPr>
        <w:t>重点优化配置商业综合体、大型商超、专业市场、社区（乡村）便利店等商业基础设施；积极创建省级商业步行街和商贸特色镇；发展电子商务、线上直播等新零售业态，培育一批规模电商平台企业和网红直播基地。</w:t>
      </w:r>
      <w:r>
        <w:rPr>
          <w:rFonts w:hint="eastAsia" w:ascii="仿宋_GB2312" w:hAnsi="仿宋_GB2312" w:eastAsia="仿宋_GB2312" w:cs="仿宋_GB2312"/>
          <w:b/>
          <w:bCs/>
          <w:color w:val="auto"/>
          <w:sz w:val="36"/>
          <w:szCs w:val="36"/>
        </w:rPr>
        <w:t>住宿业：</w:t>
      </w:r>
      <w:r>
        <w:rPr>
          <w:rFonts w:hint="eastAsia" w:ascii="仿宋_GB2312" w:hAnsi="仿宋_GB2312" w:eastAsia="仿宋_GB2312" w:cs="仿宋_GB2312"/>
          <w:color w:val="auto"/>
          <w:kern w:val="2"/>
          <w:sz w:val="36"/>
          <w:szCs w:val="36"/>
        </w:rPr>
        <w:t>调整供给结构，从星级酒店、经济型酒店二元时代向文化主题酒店、中档连锁酒店、客栈民宿、租赁式公寓等多元时代发展，丰富产品供给。</w:t>
      </w:r>
      <w:r>
        <w:rPr>
          <w:rFonts w:hint="eastAsia" w:ascii="仿宋_GB2312" w:hAnsi="仿宋_GB2312" w:eastAsia="仿宋_GB2312" w:cs="仿宋_GB2312"/>
          <w:b/>
          <w:bCs/>
          <w:color w:val="auto"/>
          <w:sz w:val="36"/>
          <w:szCs w:val="36"/>
        </w:rPr>
        <w:t>餐</w:t>
      </w:r>
      <w:r>
        <w:rPr>
          <w:rFonts w:hint="eastAsia" w:ascii="仿宋_GB2312" w:hAnsi="仿宋_GB2312" w:eastAsia="仿宋_GB2312" w:cs="仿宋_GB2312"/>
          <w:b/>
          <w:bCs/>
          <w:color w:val="auto"/>
          <w:sz w:val="36"/>
          <w:szCs w:val="36"/>
          <w:lang w:eastAsia="zh-CN"/>
        </w:rPr>
        <w:t>饮</w:t>
      </w:r>
      <w:r>
        <w:rPr>
          <w:rFonts w:hint="eastAsia" w:ascii="仿宋_GB2312" w:hAnsi="仿宋_GB2312" w:eastAsia="仿宋_GB2312" w:cs="仿宋_GB2312"/>
          <w:b/>
          <w:bCs/>
          <w:color w:val="auto"/>
          <w:sz w:val="36"/>
          <w:szCs w:val="36"/>
        </w:rPr>
        <w:t>业：</w:t>
      </w:r>
      <w:r>
        <w:rPr>
          <w:rFonts w:hint="eastAsia" w:ascii="仿宋_GB2312" w:hAnsi="仿宋_GB2312" w:eastAsia="仿宋_GB2312" w:cs="仿宋_GB2312"/>
          <w:color w:val="auto"/>
          <w:kern w:val="2"/>
          <w:sz w:val="36"/>
          <w:szCs w:val="36"/>
        </w:rPr>
        <w:t>扶持沙县小吃等地方特色餐饮品种，将明菜向全省全国推广，并以餐饮产业培育为核心、明菜发展为重点，带动全市餐饮、食品、旅游、民俗等产业全面发展。</w:t>
      </w:r>
    </w:p>
    <w:p>
      <w:pPr>
        <w:pStyle w:val="22"/>
        <w:keepNext w:val="0"/>
        <w:keepLines w:val="0"/>
        <w:pageBreakBefore w:val="0"/>
        <w:kinsoku/>
        <w:wordWrap/>
        <w:overflowPunct/>
        <w:topLinePunct w:val="0"/>
        <w:autoSpaceDE/>
        <w:autoSpaceDN/>
        <w:bidi w:val="0"/>
        <w:spacing w:line="580" w:lineRule="exact"/>
        <w:ind w:firstLine="723" w:firstLineChars="200"/>
        <w:jc w:val="both"/>
        <w:textAlignment w:val="auto"/>
        <w:rPr>
          <w:rFonts w:hint="eastAsia" w:ascii="仿宋_GB2312" w:hAnsi="仿宋_GB2312" w:eastAsia="仿宋_GB2312" w:cs="仿宋_GB2312"/>
          <w:color w:val="auto"/>
          <w:kern w:val="2"/>
          <w:sz w:val="36"/>
          <w:szCs w:val="36"/>
        </w:rPr>
      </w:pPr>
      <w:r>
        <w:rPr>
          <w:rFonts w:hint="eastAsia" w:ascii="仿宋_GB2312" w:hAnsi="仿宋_GB2312" w:eastAsia="仿宋_GB2312" w:cs="仿宋_GB2312"/>
          <w:b/>
          <w:bCs/>
          <w:color w:val="auto"/>
          <w:kern w:val="2"/>
          <w:sz w:val="36"/>
          <w:szCs w:val="36"/>
          <w:lang w:val="en-US" w:eastAsia="zh-CN" w:bidi="ar-SA"/>
        </w:rPr>
        <w:t>责任单位：市商务局、工信局</w:t>
      </w:r>
      <w:r>
        <w:rPr>
          <w:rFonts w:hint="eastAsia" w:ascii="仿宋_GB2312" w:hAnsi="仿宋_GB2312" w:eastAsia="仿宋_GB2312" w:cs="仿宋_GB2312"/>
          <w:b/>
          <w:bCs/>
          <w:color w:val="auto"/>
          <w:kern w:val="2"/>
          <w:sz w:val="36"/>
          <w:szCs w:val="36"/>
          <w:lang w:val="en-US" w:eastAsia="zh-CN"/>
        </w:rPr>
        <w:t>，各县（市、区）人民政府</w:t>
      </w:r>
    </w:p>
    <w:p>
      <w:pPr>
        <w:pStyle w:val="18"/>
        <w:keepNext w:val="0"/>
        <w:keepLines w:val="0"/>
        <w:pageBreakBefore w:val="0"/>
        <w:kinsoku/>
        <w:wordWrap/>
        <w:overflowPunct/>
        <w:topLinePunct w:val="0"/>
        <w:autoSpaceDE/>
        <w:autoSpaceDN/>
        <w:bidi w:val="0"/>
        <w:spacing w:after="0" w:line="600" w:lineRule="exact"/>
        <w:ind w:left="0" w:leftChars="0" w:firstLine="723" w:firstLineChars="200"/>
        <w:rPr>
          <w:rFonts w:ascii="楷体_GB2312" w:hAnsi="楷体_GB2312" w:eastAsia="楷体_GB2312" w:cs="楷体_GB2312"/>
          <w:b/>
          <w:bCs/>
          <w:color w:val="auto"/>
          <w:sz w:val="36"/>
          <w:szCs w:val="36"/>
          <w:lang w:eastAsia="zh-CN"/>
        </w:rPr>
      </w:pPr>
      <w:r>
        <w:rPr>
          <w:rFonts w:hint="eastAsia" w:ascii="楷体_GB2312" w:hAnsi="楷体_GB2312" w:eastAsia="楷体_GB2312" w:cs="楷体_GB2312"/>
          <w:b/>
          <w:bCs/>
          <w:color w:val="auto"/>
          <w:sz w:val="36"/>
          <w:szCs w:val="36"/>
          <w:lang w:eastAsia="zh-CN"/>
        </w:rPr>
        <w:t>（二）交通运输业</w:t>
      </w:r>
    </w:p>
    <w:p>
      <w:pPr>
        <w:pStyle w:val="18"/>
        <w:keepNext w:val="0"/>
        <w:keepLines w:val="0"/>
        <w:pageBreakBefore w:val="0"/>
        <w:kinsoku/>
        <w:wordWrap/>
        <w:overflowPunct/>
        <w:topLinePunct w:val="0"/>
        <w:autoSpaceDE/>
        <w:autoSpaceDN/>
        <w:bidi w:val="0"/>
        <w:spacing w:after="0" w:line="600" w:lineRule="exact"/>
        <w:ind w:left="0" w:leftChars="0" w:firstLine="723" w:firstLineChars="200"/>
        <w:rPr>
          <w:rFonts w:ascii="仿宋_GB2312" w:hAnsi="仿宋_GB2312" w:eastAsia="仿宋_GB2312" w:cs="仿宋_GB2312"/>
          <w:color w:val="auto"/>
          <w:sz w:val="36"/>
          <w:szCs w:val="36"/>
          <w:lang w:eastAsia="zh-CN"/>
        </w:rPr>
      </w:pPr>
      <w:r>
        <w:rPr>
          <w:rFonts w:hint="eastAsia" w:ascii="仿宋_GB2312" w:hAnsi="仿宋_GB2312" w:eastAsia="仿宋_GB2312" w:cs="仿宋_GB2312"/>
          <w:b/>
          <w:bCs/>
          <w:color w:val="auto"/>
          <w:sz w:val="36"/>
          <w:szCs w:val="36"/>
          <w:lang w:eastAsia="zh-CN"/>
        </w:rPr>
        <w:t>目标任务：</w:t>
      </w:r>
      <w:r>
        <w:rPr>
          <w:rFonts w:hint="eastAsia" w:ascii="仿宋_GB2312" w:eastAsia="仿宋_GB2312"/>
          <w:color w:val="auto"/>
          <w:sz w:val="36"/>
          <w:szCs w:val="36"/>
          <w:lang w:eastAsia="zh-CN"/>
        </w:rPr>
        <w:t>交通运输、仓储和邮政业增加值每年保持8.5%</w:t>
      </w:r>
      <w:r>
        <w:rPr>
          <w:rFonts w:hint="eastAsia" w:ascii="仿宋_GB2312" w:hAnsi="仿宋_GB2312" w:eastAsia="仿宋_GB2312" w:cs="仿宋_GB2312"/>
          <w:color w:val="auto"/>
          <w:sz w:val="36"/>
          <w:szCs w:val="36"/>
          <w:lang w:eastAsia="zh-CN"/>
        </w:rPr>
        <w:t>以上的增速，到2025年，增加值达到90亿元</w:t>
      </w:r>
      <w:r>
        <w:rPr>
          <w:rFonts w:hint="eastAsia" w:ascii="仿宋_GB2312" w:hAnsi="仿宋_GB2312" w:eastAsia="仿宋_GB2312" w:cs="仿宋_GB2312"/>
          <w:bCs/>
          <w:color w:val="auto"/>
          <w:kern w:val="2"/>
          <w:sz w:val="36"/>
          <w:szCs w:val="36"/>
          <w:lang w:eastAsia="zh-CN"/>
        </w:rPr>
        <w:t>以上</w:t>
      </w:r>
      <w:r>
        <w:rPr>
          <w:rFonts w:hint="eastAsia" w:ascii="仿宋_GB2312" w:hAnsi="仿宋_GB2312" w:eastAsia="仿宋_GB2312" w:cs="仿宋_GB2312"/>
          <w:color w:val="auto"/>
          <w:sz w:val="36"/>
          <w:szCs w:val="36"/>
          <w:lang w:eastAsia="zh-CN"/>
        </w:rPr>
        <w:t>。</w:t>
      </w:r>
    </w:p>
    <w:p>
      <w:pPr>
        <w:keepNext w:val="0"/>
        <w:keepLines w:val="0"/>
        <w:pageBreakBefore w:val="0"/>
        <w:kinsoku/>
        <w:wordWrap/>
        <w:overflowPunct/>
        <w:topLinePunct w:val="0"/>
        <w:autoSpaceDE/>
        <w:autoSpaceDN/>
        <w:bidi w:val="0"/>
        <w:spacing w:line="600" w:lineRule="exact"/>
        <w:ind w:firstLine="723" w:firstLineChars="200"/>
        <w:jc w:val="left"/>
        <w:rPr>
          <w:rFonts w:hint="eastAsia" w:ascii="仿宋_GB2312" w:hAnsi="Verdana" w:eastAsia="仿宋_GB2312"/>
          <w:color w:val="auto"/>
          <w:kern w:val="0"/>
          <w:sz w:val="36"/>
          <w:szCs w:val="36"/>
        </w:rPr>
      </w:pPr>
      <w:r>
        <w:rPr>
          <w:rFonts w:hint="eastAsia" w:ascii="仿宋_GB2312" w:hAnsi="仿宋_GB2312" w:eastAsia="仿宋_GB2312" w:cs="仿宋_GB2312"/>
          <w:b/>
          <w:bCs/>
          <w:color w:val="auto"/>
          <w:kern w:val="0"/>
          <w:sz w:val="36"/>
          <w:szCs w:val="36"/>
        </w:rPr>
        <w:t>重点方向：</w:t>
      </w:r>
      <w:r>
        <w:rPr>
          <w:rFonts w:hint="eastAsia" w:ascii="仿宋_GB2312" w:hAnsi="Verdana" w:eastAsia="仿宋_GB2312"/>
          <w:b/>
          <w:bCs/>
          <w:color w:val="auto"/>
          <w:kern w:val="0"/>
          <w:sz w:val="36"/>
          <w:szCs w:val="36"/>
        </w:rPr>
        <w:t>物流园区。</w:t>
      </w:r>
      <w:r>
        <w:rPr>
          <w:rFonts w:hint="eastAsia" w:ascii="仿宋_GB2312" w:hAnsi="Verdana" w:eastAsia="仿宋_GB2312"/>
          <w:color w:val="auto"/>
          <w:kern w:val="0"/>
          <w:sz w:val="36"/>
          <w:szCs w:val="36"/>
        </w:rPr>
        <w:t>壮大三明公路港、三明陆地港，大力发展港区物流。加快建设永安闽中公铁多式联运物流基地、闽赣省际（建宁）交通运输产业园，打造多式联运物流基地。</w:t>
      </w:r>
      <w:r>
        <w:rPr>
          <w:rFonts w:hint="eastAsia" w:ascii="仿宋_GB2312" w:hAnsi="Verdana" w:eastAsia="仿宋_GB2312"/>
          <w:b/>
          <w:bCs/>
          <w:color w:val="auto"/>
          <w:kern w:val="0"/>
          <w:sz w:val="36"/>
          <w:szCs w:val="36"/>
        </w:rPr>
        <w:t>仓储物流。</w:t>
      </w:r>
      <w:r>
        <w:rPr>
          <w:rFonts w:hint="eastAsia" w:ascii="仿宋_GB2312" w:hAnsi="Verdana" w:eastAsia="仿宋_GB2312"/>
          <w:color w:val="auto"/>
          <w:kern w:val="0"/>
          <w:sz w:val="36"/>
          <w:szCs w:val="36"/>
        </w:rPr>
        <w:t>加强粮食、棉花等重要物资储备，</w:t>
      </w:r>
      <w:r>
        <w:rPr>
          <w:rFonts w:hint="eastAsia" w:ascii="仿宋_GB2312" w:hAnsi="Verdana" w:eastAsia="仿宋_GB2312"/>
          <w:color w:val="auto"/>
          <w:kern w:val="0"/>
          <w:sz w:val="36"/>
          <w:szCs w:val="36"/>
          <w:lang w:eastAsia="zh-CN"/>
        </w:rPr>
        <w:t>强化</w:t>
      </w:r>
      <w:r>
        <w:rPr>
          <w:rFonts w:hint="eastAsia" w:ascii="仿宋_GB2312" w:hAnsi="Verdana" w:eastAsia="仿宋_GB2312"/>
          <w:color w:val="auto"/>
          <w:kern w:val="0"/>
          <w:sz w:val="36"/>
          <w:szCs w:val="36"/>
        </w:rPr>
        <w:t>冷链仓储</w:t>
      </w:r>
      <w:r>
        <w:rPr>
          <w:rFonts w:hint="eastAsia" w:ascii="仿宋_GB2312" w:hAnsi="Verdana" w:eastAsia="仿宋_GB2312"/>
          <w:color w:val="auto"/>
          <w:kern w:val="0"/>
          <w:sz w:val="36"/>
          <w:szCs w:val="36"/>
          <w:lang w:eastAsia="zh-CN"/>
        </w:rPr>
        <w:t>建设</w:t>
      </w:r>
      <w:r>
        <w:rPr>
          <w:rFonts w:hint="eastAsia" w:ascii="仿宋_GB2312" w:hAnsi="Verdana" w:eastAsia="仿宋_GB2312"/>
          <w:color w:val="auto"/>
          <w:kern w:val="0"/>
          <w:sz w:val="36"/>
          <w:szCs w:val="36"/>
        </w:rPr>
        <w:t>，</w:t>
      </w:r>
      <w:r>
        <w:rPr>
          <w:rFonts w:hint="eastAsia" w:ascii="仿宋_GB2312" w:hAnsi="Verdana" w:eastAsia="仿宋_GB2312"/>
          <w:color w:val="auto"/>
          <w:kern w:val="0"/>
          <w:sz w:val="36"/>
          <w:szCs w:val="36"/>
          <w:lang w:eastAsia="zh-CN"/>
        </w:rPr>
        <w:t>完善</w:t>
      </w:r>
      <w:r>
        <w:rPr>
          <w:rFonts w:hint="eastAsia" w:ascii="仿宋_GB2312" w:hAnsi="Verdana" w:eastAsia="仿宋_GB2312"/>
          <w:color w:val="auto"/>
          <w:kern w:val="0"/>
          <w:sz w:val="36"/>
          <w:szCs w:val="36"/>
        </w:rPr>
        <w:t>期货交割仓、融资监管仓等补缺仓储</w:t>
      </w:r>
      <w:r>
        <w:rPr>
          <w:rFonts w:hint="eastAsia" w:ascii="仿宋_GB2312" w:hAnsi="Verdana" w:eastAsia="仿宋_GB2312"/>
          <w:color w:val="auto"/>
          <w:kern w:val="0"/>
          <w:sz w:val="36"/>
          <w:szCs w:val="36"/>
          <w:lang w:eastAsia="zh-CN"/>
        </w:rPr>
        <w:t>布局</w:t>
      </w:r>
      <w:r>
        <w:rPr>
          <w:rFonts w:hint="eastAsia" w:ascii="仿宋_GB2312" w:hAnsi="Verdana" w:eastAsia="仿宋_GB2312"/>
          <w:color w:val="auto"/>
          <w:kern w:val="0"/>
          <w:sz w:val="36"/>
          <w:szCs w:val="36"/>
        </w:rPr>
        <w:t>。</w:t>
      </w:r>
      <w:r>
        <w:rPr>
          <w:rFonts w:hint="eastAsia" w:ascii="仿宋_GB2312" w:hAnsi="Verdana" w:eastAsia="仿宋_GB2312"/>
          <w:b/>
          <w:bCs/>
          <w:color w:val="auto"/>
          <w:kern w:val="0"/>
          <w:sz w:val="36"/>
          <w:szCs w:val="36"/>
        </w:rPr>
        <w:t>道路运输。</w:t>
      </w:r>
      <w:r>
        <w:rPr>
          <w:rFonts w:hint="eastAsia" w:ascii="仿宋_GB2312" w:hAnsi="Verdana" w:eastAsia="仿宋_GB2312"/>
          <w:color w:val="auto"/>
          <w:kern w:val="0"/>
          <w:sz w:val="36"/>
          <w:szCs w:val="36"/>
        </w:rPr>
        <w:t>发展甩挂运输、特装运输、多式联运、网络货运等多种道路运输业态，提升道路运力。</w:t>
      </w:r>
      <w:r>
        <w:rPr>
          <w:rFonts w:hint="eastAsia" w:ascii="仿宋_GB2312" w:hAnsi="Verdana" w:eastAsia="仿宋_GB2312"/>
          <w:b/>
          <w:bCs/>
          <w:color w:val="auto"/>
          <w:kern w:val="0"/>
          <w:sz w:val="36"/>
          <w:szCs w:val="36"/>
        </w:rPr>
        <w:t>邮政快递。</w:t>
      </w:r>
      <w:r>
        <w:rPr>
          <w:rFonts w:hint="eastAsia" w:ascii="仿宋_GB2312" w:hAnsi="Verdana" w:eastAsia="仿宋_GB2312"/>
          <w:color w:val="auto"/>
          <w:kern w:val="0"/>
          <w:sz w:val="36"/>
          <w:szCs w:val="36"/>
        </w:rPr>
        <w:t>培育一批仓配一体化、入厂物流等“快递+”融合发展的</w:t>
      </w:r>
      <w:r>
        <w:rPr>
          <w:rFonts w:hint="eastAsia" w:ascii="仿宋_GB2312" w:hAnsi="仿宋_GB2312" w:eastAsia="仿宋_GB2312" w:cs="仿宋_GB2312"/>
          <w:color w:val="auto"/>
          <w:sz w:val="36"/>
          <w:szCs w:val="36"/>
        </w:rPr>
        <w:t>快递服务特色产品示范项目</w:t>
      </w:r>
      <w:r>
        <w:rPr>
          <w:rFonts w:hint="eastAsia" w:ascii="仿宋_GB2312" w:hAnsi="Verdana" w:eastAsia="仿宋_GB2312"/>
          <w:color w:val="auto"/>
          <w:kern w:val="0"/>
          <w:sz w:val="36"/>
          <w:szCs w:val="36"/>
        </w:rPr>
        <w:t>。</w:t>
      </w:r>
    </w:p>
    <w:p>
      <w:pPr>
        <w:pStyle w:val="22"/>
        <w:keepNext w:val="0"/>
        <w:keepLines w:val="0"/>
        <w:pageBreakBefore w:val="0"/>
        <w:kinsoku/>
        <w:wordWrap/>
        <w:overflowPunct/>
        <w:topLinePunct w:val="0"/>
        <w:autoSpaceDE/>
        <w:autoSpaceDN/>
        <w:bidi w:val="0"/>
        <w:spacing w:line="580" w:lineRule="exact"/>
        <w:ind w:firstLine="723" w:firstLineChars="200"/>
        <w:jc w:val="both"/>
        <w:textAlignment w:val="auto"/>
      </w:pPr>
      <w:r>
        <w:rPr>
          <w:rFonts w:hint="eastAsia" w:ascii="仿宋_GB2312" w:hAnsi="仿宋_GB2312" w:eastAsia="仿宋_GB2312" w:cs="仿宋_GB2312"/>
          <w:b/>
          <w:bCs/>
          <w:color w:val="auto"/>
          <w:kern w:val="2"/>
          <w:sz w:val="36"/>
          <w:szCs w:val="36"/>
          <w:lang w:val="en-US" w:eastAsia="zh-CN" w:bidi="ar-SA"/>
        </w:rPr>
        <w:t>责任单位：市交通运输局、邮政局、发改委、工信局</w:t>
      </w:r>
      <w:r>
        <w:rPr>
          <w:rFonts w:hint="eastAsia" w:ascii="仿宋_GB2312" w:hAnsi="仿宋_GB2312" w:eastAsia="仿宋_GB2312" w:cs="仿宋_GB2312"/>
          <w:b/>
          <w:bCs/>
          <w:color w:val="auto"/>
          <w:kern w:val="2"/>
          <w:sz w:val="36"/>
          <w:szCs w:val="36"/>
          <w:lang w:val="en-US" w:eastAsia="zh-CN"/>
        </w:rPr>
        <w:t>，各县（市、区）人民政府</w:t>
      </w:r>
    </w:p>
    <w:p>
      <w:pPr>
        <w:pStyle w:val="2"/>
        <w:keepNext w:val="0"/>
        <w:keepLines w:val="0"/>
        <w:pageBreakBefore w:val="0"/>
        <w:kinsoku/>
        <w:wordWrap/>
        <w:overflowPunct/>
        <w:topLinePunct w:val="0"/>
        <w:autoSpaceDE/>
        <w:autoSpaceDN/>
        <w:bidi w:val="0"/>
        <w:spacing w:line="600" w:lineRule="exact"/>
        <w:ind w:firstLine="723"/>
        <w:rPr>
          <w:rFonts w:ascii="楷体_GB2312" w:hAnsi="楷体_GB2312" w:eastAsia="楷体_GB2312" w:cs="楷体_GB2312"/>
          <w:b/>
          <w:bCs/>
          <w:color w:val="auto"/>
          <w:kern w:val="0"/>
          <w:sz w:val="36"/>
          <w:szCs w:val="36"/>
        </w:rPr>
      </w:pPr>
      <w:r>
        <w:rPr>
          <w:rFonts w:hint="eastAsia" w:ascii="楷体_GB2312" w:hAnsi="楷体_GB2312" w:eastAsia="楷体_GB2312" w:cs="楷体_GB2312"/>
          <w:b/>
          <w:bCs/>
          <w:color w:val="auto"/>
          <w:kern w:val="0"/>
          <w:sz w:val="36"/>
          <w:szCs w:val="36"/>
        </w:rPr>
        <w:t>（三）文旅康养产业</w:t>
      </w:r>
    </w:p>
    <w:p>
      <w:pPr>
        <w:pStyle w:val="2"/>
        <w:keepNext w:val="0"/>
        <w:keepLines w:val="0"/>
        <w:pageBreakBefore w:val="0"/>
        <w:kinsoku/>
        <w:wordWrap/>
        <w:overflowPunct/>
        <w:topLinePunct w:val="0"/>
        <w:autoSpaceDE/>
        <w:autoSpaceDN/>
        <w:bidi w:val="0"/>
        <w:spacing w:line="600" w:lineRule="exact"/>
        <w:ind w:firstLine="723"/>
        <w:rPr>
          <w:rFonts w:hAnsi="Verdana" w:eastAsia="仿宋_GB2312"/>
          <w:color w:val="auto"/>
          <w:kern w:val="0"/>
          <w:sz w:val="36"/>
          <w:szCs w:val="36"/>
        </w:rPr>
      </w:pPr>
      <w:r>
        <w:rPr>
          <w:rFonts w:hint="eastAsia" w:hAnsi="仿宋_GB2312" w:eastAsia="仿宋_GB2312" w:cs="仿宋_GB2312"/>
          <w:b/>
          <w:bCs/>
          <w:color w:val="auto"/>
          <w:kern w:val="0"/>
          <w:sz w:val="36"/>
          <w:szCs w:val="36"/>
        </w:rPr>
        <w:t>目标任务：</w:t>
      </w:r>
      <w:r>
        <w:rPr>
          <w:rFonts w:hint="eastAsia" w:hAnsi="Verdana" w:eastAsia="仿宋_GB2312"/>
          <w:color w:val="auto"/>
          <w:kern w:val="0"/>
          <w:sz w:val="36"/>
          <w:szCs w:val="36"/>
        </w:rPr>
        <w:t>全市游客接待量和文旅康养产业总收入每年分别保持10%和11%以上的增速，到2025年，全市游客接待量达6000万人次以上，文旅康养产业实现总收入超过1000亿元。</w:t>
      </w:r>
    </w:p>
    <w:p>
      <w:pPr>
        <w:pStyle w:val="2"/>
        <w:keepNext w:val="0"/>
        <w:keepLines w:val="0"/>
        <w:pageBreakBefore w:val="0"/>
        <w:kinsoku/>
        <w:wordWrap/>
        <w:overflowPunct/>
        <w:topLinePunct w:val="0"/>
        <w:autoSpaceDE/>
        <w:autoSpaceDN/>
        <w:bidi w:val="0"/>
        <w:spacing w:line="600" w:lineRule="exact"/>
        <w:ind w:firstLine="723"/>
        <w:rPr>
          <w:rFonts w:hint="eastAsia" w:hAnsi="仿宋_GB2312" w:eastAsia="仿宋_GB2312" w:cs="仿宋_GB2312"/>
          <w:color w:val="auto"/>
          <w:sz w:val="36"/>
          <w:szCs w:val="36"/>
          <w:shd w:val="clear" w:color="auto" w:fill="FFFFFF"/>
        </w:rPr>
      </w:pPr>
      <w:r>
        <w:rPr>
          <w:rFonts w:hint="eastAsia" w:hAnsi="仿宋_GB2312" w:eastAsia="仿宋_GB2312" w:cs="仿宋_GB2312"/>
          <w:b/>
          <w:bCs/>
          <w:color w:val="auto"/>
          <w:kern w:val="0"/>
          <w:sz w:val="36"/>
          <w:szCs w:val="36"/>
        </w:rPr>
        <w:t>重点方向：</w:t>
      </w:r>
      <w:r>
        <w:rPr>
          <w:rFonts w:hint="eastAsia" w:hAnsi="仿宋_GB2312" w:eastAsia="仿宋_GB2312" w:cs="仿宋_GB2312"/>
          <w:b/>
          <w:bCs/>
          <w:color w:val="auto"/>
          <w:sz w:val="36"/>
          <w:szCs w:val="36"/>
          <w:shd w:val="clear" w:color="auto" w:fill="FFFFFF"/>
        </w:rPr>
        <w:t>文旅产业。</w:t>
      </w:r>
      <w:r>
        <w:rPr>
          <w:rFonts w:hint="eastAsia" w:hAnsi="仿宋_GB2312" w:eastAsia="仿宋_GB2312" w:cs="仿宋_GB2312"/>
          <w:color w:val="auto"/>
          <w:sz w:val="36"/>
          <w:szCs w:val="36"/>
          <w:shd w:val="clear" w:color="auto" w:fill="FFFFFF"/>
        </w:rPr>
        <w:t>用好世界级和国家级文化旅游资源，持续创建国家级文旅品牌，培育特色民宿、主题乐园、影视文化、研学培训、运动休闲等新兴业态，扩大优质旅游产品供给量，拓展“引客入明”旅游文化产业链。</w:t>
      </w:r>
      <w:r>
        <w:rPr>
          <w:rFonts w:hint="eastAsia" w:hAnsi="仿宋_GB2312" w:eastAsia="仿宋_GB2312" w:cs="仿宋_GB2312"/>
          <w:b/>
          <w:bCs/>
          <w:color w:val="auto"/>
          <w:sz w:val="36"/>
          <w:szCs w:val="36"/>
          <w:shd w:val="clear" w:color="auto" w:fill="FFFFFF"/>
        </w:rPr>
        <w:t>康养产业。</w:t>
      </w:r>
      <w:r>
        <w:rPr>
          <w:rFonts w:hint="eastAsia" w:hAnsi="仿宋_GB2312" w:eastAsia="仿宋_GB2312" w:cs="仿宋_GB2312"/>
          <w:color w:val="auto"/>
          <w:sz w:val="36"/>
          <w:szCs w:val="36"/>
          <w:shd w:val="clear" w:color="auto" w:fill="FFFFFF"/>
        </w:rPr>
        <w:t>优化培育医养结合、医学实证、养生药膳、疗休养、自然教育、运动康养等森林康养模式，打响我市森林康养特色品牌，打造成为全国全省全域森林康养的新高地、目的地。</w:t>
      </w:r>
    </w:p>
    <w:p>
      <w:pPr>
        <w:pStyle w:val="22"/>
        <w:keepNext w:val="0"/>
        <w:keepLines w:val="0"/>
        <w:pageBreakBefore w:val="0"/>
        <w:kinsoku/>
        <w:wordWrap/>
        <w:overflowPunct/>
        <w:topLinePunct w:val="0"/>
        <w:autoSpaceDE/>
        <w:autoSpaceDN/>
        <w:bidi w:val="0"/>
        <w:spacing w:line="580" w:lineRule="exact"/>
        <w:ind w:firstLine="723" w:firstLineChars="200"/>
        <w:jc w:val="both"/>
        <w:textAlignment w:val="auto"/>
      </w:pPr>
      <w:r>
        <w:rPr>
          <w:rFonts w:hint="eastAsia" w:ascii="仿宋_GB2312" w:hAnsi="仿宋_GB2312" w:eastAsia="仿宋_GB2312" w:cs="仿宋_GB2312"/>
          <w:b/>
          <w:bCs/>
          <w:color w:val="auto"/>
          <w:kern w:val="2"/>
          <w:sz w:val="36"/>
          <w:szCs w:val="36"/>
          <w:lang w:val="en-US" w:eastAsia="zh-CN" w:bidi="ar-SA"/>
        </w:rPr>
        <w:t>责任单位：市发改委、文旅局、林业局、卫健委、体育局</w:t>
      </w:r>
      <w:r>
        <w:rPr>
          <w:rFonts w:hint="eastAsia" w:ascii="仿宋_GB2312" w:hAnsi="仿宋_GB2312" w:eastAsia="仿宋_GB2312" w:cs="仿宋_GB2312"/>
          <w:b/>
          <w:bCs/>
          <w:color w:val="auto"/>
          <w:kern w:val="2"/>
          <w:sz w:val="36"/>
          <w:szCs w:val="36"/>
          <w:lang w:val="en-US" w:eastAsia="zh-CN"/>
        </w:rPr>
        <w:t>，各县（市、区）人民政府</w:t>
      </w:r>
    </w:p>
    <w:p>
      <w:pPr>
        <w:keepNext w:val="0"/>
        <w:keepLines w:val="0"/>
        <w:pageBreakBefore w:val="0"/>
        <w:kinsoku/>
        <w:wordWrap/>
        <w:overflowPunct/>
        <w:topLinePunct w:val="0"/>
        <w:autoSpaceDE/>
        <w:autoSpaceDN/>
        <w:bidi w:val="0"/>
        <w:spacing w:line="600" w:lineRule="exact"/>
        <w:ind w:firstLine="723" w:firstLineChars="200"/>
        <w:rPr>
          <w:rFonts w:ascii="楷体_GB2312" w:hAnsi="楷体_GB2312" w:eastAsia="楷体_GB2312" w:cs="楷体_GB2312"/>
          <w:b/>
          <w:bCs/>
          <w:color w:val="auto"/>
          <w:kern w:val="0"/>
          <w:sz w:val="36"/>
          <w:szCs w:val="36"/>
        </w:rPr>
      </w:pPr>
      <w:r>
        <w:rPr>
          <w:rFonts w:hint="eastAsia" w:ascii="楷体_GB2312" w:hAnsi="楷体_GB2312" w:eastAsia="楷体_GB2312" w:cs="楷体_GB2312"/>
          <w:b/>
          <w:bCs/>
          <w:color w:val="auto"/>
          <w:kern w:val="0"/>
          <w:sz w:val="36"/>
          <w:szCs w:val="36"/>
        </w:rPr>
        <w:t>（四）金融服务业</w:t>
      </w:r>
    </w:p>
    <w:p>
      <w:pPr>
        <w:keepNext w:val="0"/>
        <w:keepLines w:val="0"/>
        <w:pageBreakBefore w:val="0"/>
        <w:kinsoku/>
        <w:wordWrap/>
        <w:overflowPunct/>
        <w:topLinePunct w:val="0"/>
        <w:autoSpaceDE/>
        <w:autoSpaceDN/>
        <w:bidi w:val="0"/>
        <w:spacing w:line="600" w:lineRule="exact"/>
        <w:ind w:firstLine="723" w:firstLineChars="200"/>
        <w:rPr>
          <w:rFonts w:ascii="仿宋_GB2312" w:hAnsi="仿宋_GB2312" w:eastAsia="仿宋_GB2312" w:cs="仿宋_GB2312"/>
          <w:color w:val="auto"/>
          <w:sz w:val="36"/>
          <w:szCs w:val="36"/>
        </w:rPr>
      </w:pPr>
      <w:r>
        <w:rPr>
          <w:rFonts w:hint="eastAsia" w:ascii="仿宋_GB2312" w:hAnsi="仿宋_GB2312" w:eastAsia="仿宋_GB2312" w:cs="仿宋_GB2312"/>
          <w:b/>
          <w:bCs/>
          <w:color w:val="auto"/>
          <w:kern w:val="0"/>
          <w:sz w:val="36"/>
          <w:szCs w:val="36"/>
        </w:rPr>
        <w:t>目标任务：</w:t>
      </w:r>
      <w:r>
        <w:rPr>
          <w:rFonts w:hint="eastAsia" w:ascii="仿宋_GB2312" w:hAnsi="仿宋_GB2312" w:eastAsia="仿宋_GB2312" w:cs="仿宋_GB2312"/>
          <w:bCs/>
          <w:color w:val="auto"/>
          <w:sz w:val="36"/>
          <w:szCs w:val="36"/>
        </w:rPr>
        <w:t>金融业</w:t>
      </w:r>
      <w:r>
        <w:rPr>
          <w:rFonts w:hint="eastAsia" w:ascii="仿宋_GB2312" w:hAnsi="仿宋_GB2312" w:eastAsia="仿宋_GB2312" w:cs="仿宋_GB2312"/>
          <w:color w:val="auto"/>
          <w:sz w:val="36"/>
          <w:szCs w:val="36"/>
        </w:rPr>
        <w:t>增加值每年保持4.2%以上的增速，到2025年，增加值达到200亿元</w:t>
      </w:r>
      <w:r>
        <w:rPr>
          <w:rFonts w:hint="eastAsia" w:ascii="仿宋_GB2312" w:hAnsi="仿宋_GB2312" w:eastAsia="仿宋_GB2312" w:cs="仿宋_GB2312"/>
          <w:bCs/>
          <w:color w:val="auto"/>
          <w:sz w:val="36"/>
          <w:szCs w:val="36"/>
        </w:rPr>
        <w:t>以上</w:t>
      </w:r>
      <w:r>
        <w:rPr>
          <w:rFonts w:hint="eastAsia" w:ascii="仿宋_GB2312" w:hAnsi="仿宋_GB2312" w:eastAsia="仿宋_GB2312" w:cs="仿宋_GB2312"/>
          <w:bCs/>
          <w:color w:val="auto"/>
          <w:sz w:val="36"/>
          <w:szCs w:val="36"/>
          <w:lang w:eastAsia="zh-CN"/>
        </w:rPr>
        <w:t>，</w:t>
      </w:r>
      <w:r>
        <w:rPr>
          <w:rFonts w:hint="eastAsia" w:ascii="仿宋_GB2312" w:hAnsi="仿宋_GB2312" w:eastAsia="仿宋_GB2312" w:cs="仿宋_GB2312"/>
          <w:b w:val="0"/>
          <w:bCs w:val="0"/>
          <w:color w:val="auto"/>
          <w:kern w:val="2"/>
          <w:sz w:val="36"/>
          <w:szCs w:val="36"/>
          <w:lang w:val="en-US" w:eastAsia="zh-CN" w:bidi="ar-SA"/>
        </w:rPr>
        <w:t>新增2-3家企业上市（挂牌）。</w:t>
      </w:r>
    </w:p>
    <w:p>
      <w:pPr>
        <w:keepNext w:val="0"/>
        <w:keepLines w:val="0"/>
        <w:pageBreakBefore w:val="0"/>
        <w:kinsoku/>
        <w:wordWrap/>
        <w:overflowPunct/>
        <w:topLinePunct w:val="0"/>
        <w:autoSpaceDE/>
        <w:autoSpaceDN/>
        <w:bidi w:val="0"/>
        <w:spacing w:line="600" w:lineRule="exact"/>
        <w:ind w:firstLine="723" w:firstLineChars="200"/>
        <w:rPr>
          <w:rFonts w:hint="eastAsia" w:ascii="仿宋_GB2312" w:hAnsi="仿宋_GB2312" w:eastAsia="仿宋_GB2312" w:cs="仿宋_GB2312"/>
          <w:color w:val="auto"/>
          <w:sz w:val="36"/>
          <w:szCs w:val="36"/>
          <w:shd w:val="clear" w:color="auto" w:fill="FFFFFF"/>
        </w:rPr>
      </w:pPr>
      <w:r>
        <w:rPr>
          <w:rFonts w:hint="eastAsia" w:ascii="仿宋_GB2312" w:hAnsi="仿宋_GB2312" w:eastAsia="仿宋_GB2312" w:cs="仿宋_GB2312"/>
          <w:b/>
          <w:bCs/>
          <w:color w:val="auto"/>
          <w:kern w:val="0"/>
          <w:sz w:val="36"/>
          <w:szCs w:val="36"/>
        </w:rPr>
        <w:t>重点方向：金融业发展。</w:t>
      </w:r>
      <w:r>
        <w:rPr>
          <w:rFonts w:hint="eastAsia" w:ascii="仿宋_GB2312" w:hAnsi="仿宋_GB2312" w:eastAsia="仿宋_GB2312" w:cs="仿宋_GB2312"/>
          <w:color w:val="auto"/>
          <w:sz w:val="36"/>
          <w:szCs w:val="36"/>
          <w:shd w:val="clear" w:color="auto" w:fill="FFFFFF"/>
        </w:rPr>
        <w:t>争取银行、保险、证券机构来明设立分公司，争取风险投资基金、私募股权投资机构来我市注册成立基金。围绕安全生产、医疗、食品安全、环境污染等重点领域丰富保险产品供给，推进保险产品创新。</w:t>
      </w:r>
      <w:r>
        <w:rPr>
          <w:rFonts w:hint="eastAsia" w:hAnsi="仿宋_GB2312" w:eastAsia="仿宋_GB2312" w:cs="仿宋_GB2312"/>
          <w:b/>
          <w:bCs/>
          <w:color w:val="auto"/>
          <w:kern w:val="0"/>
          <w:sz w:val="36"/>
          <w:szCs w:val="36"/>
        </w:rPr>
        <w:t>金融服务。</w:t>
      </w:r>
      <w:r>
        <w:rPr>
          <w:rFonts w:hint="eastAsia" w:ascii="仿宋_GB2312" w:hAnsi="仿宋_GB2312" w:eastAsia="仿宋_GB2312" w:cs="仿宋_GB2312"/>
          <w:color w:val="auto"/>
          <w:sz w:val="36"/>
          <w:szCs w:val="36"/>
          <w:shd w:val="clear" w:color="auto" w:fill="FFFFFF"/>
        </w:rPr>
        <w:t>围绕实体经济发展，持续扩大信贷投放力度。实施企业上市专项行动，梯队开展上市辅导培育。鼓励现有基金加大股权投资力度，拓宽企业融资渠道。</w:t>
      </w:r>
      <w:r>
        <w:rPr>
          <w:rFonts w:hint="eastAsia" w:ascii="仿宋_GB2312" w:hAnsi="仿宋_GB2312" w:eastAsia="仿宋_GB2312" w:cs="仿宋_GB2312"/>
          <w:b/>
          <w:bCs/>
          <w:color w:val="auto"/>
          <w:kern w:val="0"/>
          <w:sz w:val="36"/>
          <w:szCs w:val="36"/>
        </w:rPr>
        <w:t>金融改革。</w:t>
      </w:r>
      <w:r>
        <w:rPr>
          <w:rFonts w:hint="eastAsia" w:ascii="仿宋_GB2312" w:hAnsi="仿宋_GB2312" w:eastAsia="仿宋_GB2312" w:cs="仿宋_GB2312"/>
          <w:color w:val="auto"/>
          <w:sz w:val="36"/>
          <w:szCs w:val="36"/>
          <w:shd w:val="clear" w:color="auto" w:fill="FFFFFF"/>
        </w:rPr>
        <w:t>健全完善绿色金融制度体系、组织体系、融资体系，以点带面，推动建设绿色银行。</w:t>
      </w:r>
    </w:p>
    <w:p>
      <w:pPr>
        <w:pStyle w:val="22"/>
        <w:keepNext w:val="0"/>
        <w:keepLines w:val="0"/>
        <w:pageBreakBefore w:val="0"/>
        <w:kinsoku/>
        <w:wordWrap/>
        <w:overflowPunct/>
        <w:topLinePunct w:val="0"/>
        <w:autoSpaceDE/>
        <w:autoSpaceDN/>
        <w:bidi w:val="0"/>
        <w:spacing w:line="580" w:lineRule="exact"/>
        <w:ind w:firstLine="723" w:firstLineChars="200"/>
        <w:jc w:val="both"/>
        <w:textAlignment w:val="auto"/>
      </w:pPr>
      <w:r>
        <w:rPr>
          <w:rFonts w:hint="eastAsia" w:ascii="仿宋_GB2312" w:hAnsi="仿宋_GB2312" w:eastAsia="仿宋_GB2312" w:cs="仿宋_GB2312"/>
          <w:b/>
          <w:bCs/>
          <w:color w:val="auto"/>
          <w:kern w:val="2"/>
          <w:sz w:val="36"/>
          <w:szCs w:val="36"/>
          <w:lang w:val="en-US" w:eastAsia="zh-CN" w:bidi="ar-SA"/>
        </w:rPr>
        <w:t>责任单位：市</w:t>
      </w:r>
      <w:r>
        <w:rPr>
          <w:rFonts w:hint="eastAsia" w:ascii="仿宋_GB2312" w:hAnsi="仿宋_GB2312" w:eastAsia="仿宋_GB2312" w:cs="仿宋_GB2312"/>
          <w:b/>
          <w:bCs/>
          <w:sz w:val="36"/>
          <w:szCs w:val="36"/>
          <w:lang w:eastAsia="zh-CN"/>
        </w:rPr>
        <w:t>金融监管局、国资委、</w:t>
      </w:r>
      <w:r>
        <w:rPr>
          <w:rFonts w:hint="eastAsia" w:ascii="仿宋_GB2312" w:hAnsi="仿宋_GB2312" w:eastAsia="仿宋_GB2312" w:cs="仿宋_GB2312"/>
          <w:b/>
          <w:bCs/>
          <w:sz w:val="36"/>
          <w:szCs w:val="36"/>
          <w:lang w:val="en-US" w:eastAsia="zh-CN"/>
        </w:rPr>
        <w:t>人行、银保监局，各县（市、区）人民政府</w:t>
      </w:r>
    </w:p>
    <w:p>
      <w:pPr>
        <w:keepNext w:val="0"/>
        <w:keepLines w:val="0"/>
        <w:pageBreakBefore w:val="0"/>
        <w:kinsoku/>
        <w:wordWrap/>
        <w:overflowPunct/>
        <w:topLinePunct w:val="0"/>
        <w:autoSpaceDE/>
        <w:autoSpaceDN/>
        <w:bidi w:val="0"/>
        <w:spacing w:line="600" w:lineRule="exact"/>
        <w:ind w:firstLine="723" w:firstLineChars="200"/>
        <w:rPr>
          <w:rFonts w:ascii="楷体_GB2312" w:hAnsi="楷体_GB2312" w:eastAsia="楷体_GB2312" w:cs="楷体_GB2312"/>
          <w:b/>
          <w:bCs/>
          <w:color w:val="auto"/>
          <w:kern w:val="0"/>
          <w:sz w:val="36"/>
          <w:szCs w:val="36"/>
        </w:rPr>
      </w:pPr>
      <w:r>
        <w:rPr>
          <w:rFonts w:hint="eastAsia" w:ascii="楷体_GB2312" w:hAnsi="楷体_GB2312" w:eastAsia="楷体_GB2312" w:cs="楷体_GB2312"/>
          <w:b/>
          <w:bCs/>
          <w:color w:val="auto"/>
          <w:kern w:val="0"/>
          <w:sz w:val="36"/>
          <w:szCs w:val="36"/>
        </w:rPr>
        <w:t>（五）房地产业</w:t>
      </w:r>
    </w:p>
    <w:p>
      <w:pPr>
        <w:keepNext w:val="0"/>
        <w:keepLines w:val="0"/>
        <w:pageBreakBefore w:val="0"/>
        <w:kinsoku/>
        <w:wordWrap/>
        <w:overflowPunct/>
        <w:topLinePunct w:val="0"/>
        <w:autoSpaceDE/>
        <w:autoSpaceDN/>
        <w:bidi w:val="0"/>
        <w:spacing w:line="600" w:lineRule="exact"/>
        <w:ind w:firstLine="723" w:firstLineChars="200"/>
        <w:rPr>
          <w:rFonts w:ascii="仿宋_GB2312" w:hAnsi="仿宋_GB2312" w:eastAsia="仿宋_GB2312" w:cs="仿宋_GB2312"/>
          <w:color w:val="auto"/>
          <w:sz w:val="36"/>
          <w:szCs w:val="36"/>
        </w:rPr>
      </w:pPr>
      <w:r>
        <w:rPr>
          <w:rFonts w:hint="eastAsia" w:ascii="仿宋_GB2312" w:hAnsi="仿宋_GB2312" w:eastAsia="仿宋_GB2312" w:cs="仿宋_GB2312"/>
          <w:b/>
          <w:bCs/>
          <w:color w:val="auto"/>
          <w:kern w:val="0"/>
          <w:sz w:val="36"/>
          <w:szCs w:val="36"/>
        </w:rPr>
        <w:t>目标任务：</w:t>
      </w:r>
      <w:r>
        <w:rPr>
          <w:rFonts w:hint="eastAsia" w:ascii="仿宋_GB2312" w:hAnsi="仿宋_GB2312" w:eastAsia="仿宋_GB2312" w:cs="仿宋_GB2312"/>
          <w:bCs/>
          <w:color w:val="auto"/>
          <w:sz w:val="36"/>
          <w:szCs w:val="36"/>
        </w:rPr>
        <w:t>房地产业</w:t>
      </w:r>
      <w:r>
        <w:rPr>
          <w:rFonts w:hint="eastAsia" w:ascii="仿宋_GB2312" w:hAnsi="仿宋_GB2312" w:eastAsia="仿宋_GB2312" w:cs="仿宋_GB2312"/>
          <w:color w:val="auto"/>
          <w:sz w:val="36"/>
          <w:szCs w:val="36"/>
        </w:rPr>
        <w:t>增加值每年保持5%以上的增速，到2025年，增加</w:t>
      </w:r>
      <w:r>
        <w:rPr>
          <w:rFonts w:hint="eastAsia" w:ascii="仿宋_GB2312" w:hAnsi="仿宋_GB2312" w:eastAsia="仿宋_GB2312" w:cs="仿宋_GB2312"/>
          <w:bCs/>
          <w:color w:val="auto"/>
          <w:sz w:val="36"/>
          <w:szCs w:val="36"/>
        </w:rPr>
        <w:t>值达到170亿元以上</w:t>
      </w:r>
      <w:r>
        <w:rPr>
          <w:rFonts w:hint="eastAsia" w:ascii="仿宋_GB2312" w:hAnsi="仿宋_GB2312" w:eastAsia="仿宋_GB2312" w:cs="仿宋_GB2312"/>
          <w:color w:val="auto"/>
          <w:sz w:val="36"/>
          <w:szCs w:val="36"/>
        </w:rPr>
        <w:t>。</w:t>
      </w:r>
    </w:p>
    <w:p>
      <w:pPr>
        <w:pStyle w:val="2"/>
        <w:keepNext w:val="0"/>
        <w:keepLines w:val="0"/>
        <w:pageBreakBefore w:val="0"/>
        <w:kinsoku/>
        <w:wordWrap/>
        <w:overflowPunct/>
        <w:topLinePunct w:val="0"/>
        <w:autoSpaceDE/>
        <w:autoSpaceDN/>
        <w:bidi w:val="0"/>
        <w:spacing w:line="600" w:lineRule="exact"/>
        <w:ind w:firstLine="723"/>
        <w:rPr>
          <w:rFonts w:hint="eastAsia" w:hAnsi="仿宋_GB2312" w:eastAsia="仿宋_GB2312" w:cs="仿宋_GB2312"/>
          <w:color w:val="auto"/>
          <w:sz w:val="36"/>
          <w:szCs w:val="36"/>
        </w:rPr>
      </w:pPr>
      <w:r>
        <w:rPr>
          <w:rFonts w:hint="eastAsia" w:hAnsi="仿宋_GB2312" w:eastAsia="仿宋_GB2312" w:cs="仿宋_GB2312"/>
          <w:b/>
          <w:bCs/>
          <w:color w:val="auto"/>
          <w:sz w:val="36"/>
          <w:szCs w:val="36"/>
        </w:rPr>
        <w:t>重点方向：</w:t>
      </w:r>
      <w:r>
        <w:rPr>
          <w:rFonts w:hint="eastAsia" w:hAnsi="仿宋_GB2312" w:eastAsia="仿宋_GB2312" w:cs="仿宋_GB2312"/>
          <w:color w:val="auto"/>
          <w:sz w:val="36"/>
          <w:szCs w:val="36"/>
        </w:rPr>
        <w:t>在优化房地产调整调控政策、完善车位租售管理、加大公积金支持力度、促进房地产市场销售等方向上持续发力，除保障住宅地产稳定投放外，推出商业地产、旅游地产、体育地产、养老地产等不同类型房源，打造品质地产，充分满足刚需和改善性购房群体的多样化需求，提升房地产市场活力。</w:t>
      </w:r>
    </w:p>
    <w:p>
      <w:pPr>
        <w:pStyle w:val="22"/>
        <w:keepNext w:val="0"/>
        <w:keepLines w:val="0"/>
        <w:pageBreakBefore w:val="0"/>
        <w:kinsoku/>
        <w:wordWrap/>
        <w:overflowPunct/>
        <w:topLinePunct w:val="0"/>
        <w:autoSpaceDE/>
        <w:autoSpaceDN/>
        <w:bidi w:val="0"/>
        <w:spacing w:line="580" w:lineRule="exact"/>
        <w:ind w:firstLine="723" w:firstLineChars="200"/>
        <w:jc w:val="both"/>
        <w:textAlignment w:val="auto"/>
      </w:pPr>
      <w:r>
        <w:rPr>
          <w:rFonts w:hint="eastAsia" w:ascii="仿宋_GB2312" w:hAnsi="仿宋_GB2312" w:eastAsia="仿宋_GB2312" w:cs="仿宋_GB2312"/>
          <w:b/>
          <w:bCs/>
          <w:color w:val="auto"/>
          <w:kern w:val="2"/>
          <w:sz w:val="36"/>
          <w:szCs w:val="36"/>
          <w:lang w:val="en-US" w:eastAsia="zh-CN" w:bidi="ar-SA"/>
        </w:rPr>
        <w:t>责任单位：市</w:t>
      </w:r>
      <w:r>
        <w:rPr>
          <w:rFonts w:hint="eastAsia" w:ascii="仿宋_GB2312" w:hAnsi="仿宋_GB2312" w:eastAsia="仿宋_GB2312" w:cs="仿宋_GB2312"/>
          <w:b/>
          <w:bCs/>
          <w:sz w:val="36"/>
          <w:szCs w:val="36"/>
          <w:lang w:eastAsia="zh-CN"/>
        </w:rPr>
        <w:t>住建局、自然资源局</w:t>
      </w:r>
      <w:r>
        <w:rPr>
          <w:rFonts w:hint="eastAsia" w:ascii="仿宋_GB2312" w:hAnsi="仿宋_GB2312" w:eastAsia="仿宋_GB2312" w:cs="仿宋_GB2312"/>
          <w:b/>
          <w:bCs/>
          <w:sz w:val="36"/>
          <w:szCs w:val="36"/>
          <w:lang w:val="en-US" w:eastAsia="zh-CN"/>
        </w:rPr>
        <w:t>，各县（市、区）人民政府</w:t>
      </w:r>
    </w:p>
    <w:p>
      <w:pPr>
        <w:pStyle w:val="18"/>
        <w:keepNext w:val="0"/>
        <w:keepLines w:val="0"/>
        <w:pageBreakBefore w:val="0"/>
        <w:kinsoku/>
        <w:wordWrap/>
        <w:overflowPunct/>
        <w:topLinePunct w:val="0"/>
        <w:autoSpaceDE/>
        <w:autoSpaceDN/>
        <w:bidi w:val="0"/>
        <w:spacing w:after="0" w:line="600" w:lineRule="exact"/>
        <w:ind w:left="0" w:leftChars="0" w:firstLine="723" w:firstLineChars="200"/>
        <w:rPr>
          <w:rFonts w:ascii="楷体_GB2312" w:hAnsi="楷体_GB2312" w:eastAsia="楷体_GB2312" w:cs="楷体_GB2312"/>
          <w:b/>
          <w:bCs/>
          <w:color w:val="auto"/>
          <w:sz w:val="36"/>
          <w:szCs w:val="36"/>
          <w:lang w:eastAsia="zh-CN"/>
        </w:rPr>
      </w:pPr>
      <w:r>
        <w:rPr>
          <w:rFonts w:hint="eastAsia" w:ascii="楷体_GB2312" w:hAnsi="楷体_GB2312" w:eastAsia="楷体_GB2312" w:cs="楷体_GB2312"/>
          <w:b/>
          <w:bCs/>
          <w:color w:val="auto"/>
          <w:sz w:val="36"/>
          <w:szCs w:val="36"/>
          <w:lang w:eastAsia="zh-CN"/>
        </w:rPr>
        <w:t>（六）营利性服务业</w:t>
      </w:r>
    </w:p>
    <w:p>
      <w:pPr>
        <w:keepNext w:val="0"/>
        <w:keepLines w:val="0"/>
        <w:pageBreakBefore w:val="0"/>
        <w:kinsoku/>
        <w:wordWrap/>
        <w:overflowPunct/>
        <w:topLinePunct w:val="0"/>
        <w:autoSpaceDE/>
        <w:autoSpaceDN/>
        <w:bidi w:val="0"/>
        <w:spacing w:line="600" w:lineRule="exact"/>
        <w:ind w:firstLine="723" w:firstLineChars="200"/>
        <w:rPr>
          <w:rFonts w:ascii="仿宋_GB2312" w:hAnsi="仿宋_GB2312" w:eastAsia="仿宋_GB2312" w:cs="仿宋_GB2312"/>
          <w:color w:val="auto"/>
          <w:sz w:val="36"/>
          <w:szCs w:val="36"/>
        </w:rPr>
      </w:pPr>
      <w:r>
        <w:rPr>
          <w:rFonts w:hint="eastAsia" w:ascii="仿宋_GB2312" w:hAnsi="仿宋_GB2312" w:eastAsia="仿宋_GB2312" w:cs="仿宋_GB2312"/>
          <w:b/>
          <w:bCs/>
          <w:color w:val="auto"/>
          <w:kern w:val="0"/>
          <w:sz w:val="36"/>
          <w:szCs w:val="36"/>
        </w:rPr>
        <w:t>目标任务：</w:t>
      </w:r>
      <w:r>
        <w:rPr>
          <w:rFonts w:hint="eastAsia" w:ascii="仿宋_GB2312" w:hAnsi="仿宋_GB2312" w:eastAsia="仿宋_GB2312" w:cs="仿宋_GB2312"/>
          <w:color w:val="auto"/>
          <w:sz w:val="36"/>
          <w:szCs w:val="36"/>
        </w:rPr>
        <w:t>租赁和商务服务业，居民服务、修理和其他服务业，文化、体育和娱乐业，科学研究和技术服务业，互联网和相关服务，软件和信息技术服务业</w:t>
      </w:r>
      <w:r>
        <w:rPr>
          <w:rFonts w:hint="eastAsia" w:ascii="仿宋_GB2312" w:hAnsi="仿宋_GB2312" w:eastAsia="仿宋_GB2312" w:cs="仿宋_GB2312"/>
          <w:color w:val="auto"/>
          <w:sz w:val="36"/>
          <w:szCs w:val="36"/>
          <w:lang w:eastAsia="zh-CN"/>
        </w:rPr>
        <w:t>，电信业务</w:t>
      </w:r>
      <w:r>
        <w:rPr>
          <w:rFonts w:hint="eastAsia" w:ascii="仿宋_GB2312" w:hAnsi="仿宋_GB2312" w:eastAsia="仿宋_GB2312" w:cs="仿宋_GB2312"/>
          <w:color w:val="auto"/>
          <w:sz w:val="36"/>
          <w:szCs w:val="36"/>
        </w:rPr>
        <w:t>等营利性服务业增加值每年保持12.5%以上的增速，到2025年，增加</w:t>
      </w:r>
      <w:r>
        <w:rPr>
          <w:rFonts w:hint="eastAsia" w:ascii="仿宋_GB2312" w:hAnsi="仿宋_GB2312" w:eastAsia="仿宋_GB2312" w:cs="仿宋_GB2312"/>
          <w:bCs/>
          <w:color w:val="auto"/>
          <w:sz w:val="36"/>
          <w:szCs w:val="36"/>
        </w:rPr>
        <w:t>值</w:t>
      </w:r>
      <w:r>
        <w:rPr>
          <w:rFonts w:hint="eastAsia" w:ascii="仿宋_GB2312" w:hAnsi="仿宋_GB2312" w:eastAsia="仿宋_GB2312" w:cs="仿宋_GB2312"/>
          <w:color w:val="auto"/>
          <w:sz w:val="36"/>
          <w:szCs w:val="36"/>
        </w:rPr>
        <w:t>达到250亿元</w:t>
      </w:r>
      <w:r>
        <w:rPr>
          <w:rFonts w:hint="eastAsia" w:ascii="仿宋_GB2312" w:hAnsi="仿宋_GB2312" w:eastAsia="仿宋_GB2312" w:cs="仿宋_GB2312"/>
          <w:bCs/>
          <w:color w:val="auto"/>
          <w:sz w:val="36"/>
          <w:szCs w:val="36"/>
        </w:rPr>
        <w:t>以上</w:t>
      </w:r>
      <w:r>
        <w:rPr>
          <w:rFonts w:hint="eastAsia" w:ascii="仿宋_GB2312" w:hAnsi="仿宋_GB2312" w:eastAsia="仿宋_GB2312" w:cs="仿宋_GB2312"/>
          <w:color w:val="auto"/>
          <w:sz w:val="36"/>
          <w:szCs w:val="36"/>
        </w:rPr>
        <w:t>。</w:t>
      </w:r>
    </w:p>
    <w:p>
      <w:pPr>
        <w:keepNext w:val="0"/>
        <w:keepLines w:val="0"/>
        <w:pageBreakBefore w:val="0"/>
        <w:kinsoku/>
        <w:wordWrap/>
        <w:overflowPunct/>
        <w:topLinePunct w:val="0"/>
        <w:autoSpaceDE/>
        <w:autoSpaceDN/>
        <w:bidi w:val="0"/>
        <w:spacing w:line="600" w:lineRule="exact"/>
        <w:ind w:firstLine="723" w:firstLineChars="200"/>
        <w:rPr>
          <w:rFonts w:hint="eastAsia" w:ascii="仿宋_GB2312" w:hAnsi="仿宋_GB2312" w:eastAsia="仿宋_GB2312" w:cs="仿宋_GB2312"/>
          <w:color w:val="auto"/>
          <w:kern w:val="0"/>
          <w:sz w:val="36"/>
          <w:szCs w:val="36"/>
        </w:rPr>
      </w:pPr>
      <w:r>
        <w:rPr>
          <w:rFonts w:hint="eastAsia" w:ascii="仿宋_GB2312" w:hAnsi="仿宋_GB2312" w:eastAsia="仿宋_GB2312" w:cs="仿宋_GB2312"/>
          <w:b/>
          <w:bCs/>
          <w:color w:val="auto"/>
          <w:kern w:val="0"/>
          <w:sz w:val="36"/>
          <w:szCs w:val="36"/>
        </w:rPr>
        <w:t>重点方向：信息服务。</w:t>
      </w:r>
      <w:r>
        <w:rPr>
          <w:rFonts w:hint="eastAsia" w:ascii="仿宋_GB2312" w:hAnsi="仿宋_GB2312" w:eastAsia="仿宋_GB2312" w:cs="仿宋_GB2312"/>
          <w:color w:val="auto"/>
          <w:sz w:val="36"/>
          <w:szCs w:val="36"/>
        </w:rPr>
        <w:t>开发5G应用、物联网应用、智能家居应用，发展平台经济、分享经济。</w:t>
      </w:r>
      <w:r>
        <w:rPr>
          <w:rFonts w:hint="eastAsia" w:ascii="仿宋_GB2312" w:hAnsi="仿宋_GB2312" w:eastAsia="仿宋_GB2312" w:cs="仿宋_GB2312"/>
          <w:b/>
          <w:bCs/>
          <w:color w:val="auto"/>
          <w:sz w:val="36"/>
          <w:szCs w:val="36"/>
        </w:rPr>
        <w:t>商务服务。</w:t>
      </w:r>
      <w:r>
        <w:rPr>
          <w:rFonts w:hint="eastAsia" w:ascii="仿宋_GB2312" w:hAnsi="仿宋_GB2312" w:eastAsia="仿宋_GB2312" w:cs="仿宋_GB2312"/>
          <w:color w:val="auto"/>
          <w:sz w:val="36"/>
          <w:szCs w:val="36"/>
        </w:rPr>
        <w:t>培育一批会计、法律、税务、咨询机构，推动中央商务区、楼宇经济发展。</w:t>
      </w:r>
      <w:r>
        <w:rPr>
          <w:rFonts w:hint="eastAsia" w:ascii="仿宋_GB2312" w:hAnsi="仿宋_GB2312" w:eastAsia="仿宋_GB2312" w:cs="仿宋_GB2312"/>
          <w:b/>
          <w:bCs/>
          <w:color w:val="auto"/>
          <w:sz w:val="36"/>
          <w:szCs w:val="36"/>
        </w:rPr>
        <w:t>专业技术服务。</w:t>
      </w:r>
      <w:r>
        <w:rPr>
          <w:rFonts w:hint="eastAsia" w:ascii="仿宋_GB2312" w:hAnsi="仿宋_GB2312" w:eastAsia="仿宋_GB2312" w:cs="仿宋_GB2312"/>
          <w:color w:val="auto"/>
          <w:sz w:val="36"/>
          <w:szCs w:val="36"/>
        </w:rPr>
        <w:t>围绕企事业单位节能减排、安全保卫等市场需求，培育能源管家、智能安防等新商业模式和新业态</w:t>
      </w:r>
      <w:r>
        <w:rPr>
          <w:rFonts w:hint="eastAsia" w:ascii="仿宋_GB2312" w:hAnsi="仿宋_GB2312" w:eastAsia="仿宋_GB2312" w:cs="仿宋_GB2312"/>
          <w:color w:val="auto"/>
          <w:kern w:val="0"/>
          <w:sz w:val="36"/>
          <w:szCs w:val="36"/>
        </w:rPr>
        <w:t>。</w:t>
      </w:r>
      <w:r>
        <w:rPr>
          <w:rFonts w:hint="eastAsia" w:ascii="仿宋_GB2312" w:hAnsi="仿宋_GB2312" w:eastAsia="仿宋_GB2312" w:cs="仿宋_GB2312"/>
          <w:b/>
          <w:bCs/>
          <w:color w:val="auto"/>
          <w:sz w:val="36"/>
          <w:szCs w:val="36"/>
        </w:rPr>
        <w:t>文化体育娱乐业。</w:t>
      </w:r>
      <w:r>
        <w:rPr>
          <w:rFonts w:hint="eastAsia" w:ascii="仿宋_GB2312" w:hAnsi="仿宋_GB2312" w:eastAsia="仿宋_GB2312" w:cs="仿宋_GB2312"/>
          <w:color w:val="auto"/>
          <w:kern w:val="0"/>
          <w:sz w:val="36"/>
          <w:szCs w:val="36"/>
        </w:rPr>
        <w:t>依托景区，布局歌舞演艺、大型实景演出产业</w:t>
      </w:r>
      <w:r>
        <w:rPr>
          <w:rFonts w:hint="eastAsia" w:ascii="仿宋_GB2312" w:hAnsi="仿宋_GB2312" w:eastAsia="仿宋_GB2312" w:cs="仿宋_GB2312"/>
          <w:color w:val="auto"/>
          <w:kern w:val="0"/>
          <w:sz w:val="36"/>
          <w:szCs w:val="36"/>
          <w:lang w:eastAsia="zh-CN"/>
        </w:rPr>
        <w:t>；</w:t>
      </w:r>
      <w:r>
        <w:rPr>
          <w:rFonts w:hint="eastAsia" w:ascii="仿宋_GB2312" w:hAnsi="仿宋_GB2312" w:eastAsia="仿宋_GB2312" w:cs="仿宋_GB2312"/>
          <w:color w:val="auto"/>
          <w:kern w:val="0"/>
          <w:sz w:val="36"/>
          <w:szCs w:val="36"/>
        </w:rPr>
        <w:t>依托文创基地，开发IP知识内容产业</w:t>
      </w:r>
      <w:r>
        <w:rPr>
          <w:rFonts w:hint="eastAsia" w:ascii="仿宋_GB2312" w:hAnsi="仿宋_GB2312" w:eastAsia="仿宋_GB2312" w:cs="仿宋_GB2312"/>
          <w:color w:val="auto"/>
          <w:kern w:val="0"/>
          <w:sz w:val="36"/>
          <w:szCs w:val="36"/>
          <w:lang w:eastAsia="zh-CN"/>
        </w:rPr>
        <w:t>；</w:t>
      </w:r>
      <w:r>
        <w:rPr>
          <w:rFonts w:hint="eastAsia" w:ascii="仿宋_GB2312" w:hAnsi="仿宋_GB2312" w:eastAsia="仿宋_GB2312" w:cs="仿宋_GB2312"/>
          <w:color w:val="auto"/>
          <w:kern w:val="0"/>
          <w:sz w:val="36"/>
          <w:szCs w:val="36"/>
        </w:rPr>
        <w:t>依托山水资源，开发山地越野、水上运动等体育赛事产业。</w:t>
      </w:r>
    </w:p>
    <w:p>
      <w:pPr>
        <w:pStyle w:val="22"/>
        <w:keepNext w:val="0"/>
        <w:keepLines w:val="0"/>
        <w:pageBreakBefore w:val="0"/>
        <w:kinsoku/>
        <w:wordWrap/>
        <w:overflowPunct/>
        <w:topLinePunct w:val="0"/>
        <w:autoSpaceDE/>
        <w:autoSpaceDN/>
        <w:bidi w:val="0"/>
        <w:spacing w:line="580" w:lineRule="exact"/>
        <w:ind w:firstLine="723" w:firstLineChars="200"/>
        <w:jc w:val="both"/>
        <w:textAlignment w:val="auto"/>
        <w:rPr>
          <w:rFonts w:hint="eastAsia" w:ascii="仿宋_GB2312" w:hAnsi="仿宋_GB2312" w:eastAsia="仿宋_GB2312" w:cs="仿宋_GB2312"/>
          <w:b/>
          <w:bCs/>
          <w:color w:val="auto"/>
          <w:kern w:val="2"/>
          <w:sz w:val="36"/>
          <w:szCs w:val="36"/>
          <w:lang w:val="en-US" w:eastAsia="zh-CN" w:bidi="ar-SA"/>
        </w:rPr>
      </w:pPr>
      <w:r>
        <w:rPr>
          <w:rFonts w:hint="eastAsia" w:ascii="仿宋_GB2312" w:hAnsi="仿宋_GB2312" w:eastAsia="仿宋_GB2312" w:cs="仿宋_GB2312"/>
          <w:b/>
          <w:bCs/>
          <w:color w:val="auto"/>
          <w:kern w:val="2"/>
          <w:sz w:val="36"/>
          <w:szCs w:val="36"/>
          <w:lang w:val="en-US" w:eastAsia="zh-CN" w:bidi="ar-SA"/>
        </w:rPr>
        <w:t>责任单位：市发改委、市场监管局、商务局、国资委、文旅局、体育局、科技局、工信局、通信办</w:t>
      </w:r>
      <w:r>
        <w:rPr>
          <w:rFonts w:hint="eastAsia" w:ascii="仿宋_GB2312" w:hAnsi="仿宋_GB2312" w:eastAsia="仿宋_GB2312" w:cs="仿宋_GB2312"/>
          <w:b/>
          <w:bCs/>
          <w:sz w:val="36"/>
          <w:szCs w:val="36"/>
          <w:lang w:val="en-US" w:eastAsia="zh-CN"/>
        </w:rPr>
        <w:t>，各县（市、区）人民政府</w:t>
      </w:r>
    </w:p>
    <w:p>
      <w:pPr>
        <w:keepNext w:val="0"/>
        <w:keepLines w:val="0"/>
        <w:pageBreakBefore w:val="0"/>
        <w:kinsoku/>
        <w:wordWrap/>
        <w:overflowPunct/>
        <w:topLinePunct w:val="0"/>
        <w:autoSpaceDE/>
        <w:autoSpaceDN/>
        <w:bidi w:val="0"/>
        <w:spacing w:line="600" w:lineRule="exact"/>
        <w:ind w:firstLine="723" w:firstLineChars="200"/>
        <w:rPr>
          <w:rFonts w:ascii="楷体_GB2312" w:hAnsi="楷体_GB2312" w:eastAsia="楷体_GB2312" w:cs="楷体_GB2312"/>
          <w:b/>
          <w:bCs/>
          <w:color w:val="auto"/>
          <w:kern w:val="0"/>
          <w:sz w:val="36"/>
          <w:szCs w:val="36"/>
        </w:rPr>
      </w:pPr>
      <w:r>
        <w:rPr>
          <w:rFonts w:hint="eastAsia" w:ascii="楷体_GB2312" w:hAnsi="楷体_GB2312" w:eastAsia="楷体_GB2312" w:cs="楷体_GB2312"/>
          <w:b/>
          <w:bCs/>
          <w:color w:val="auto"/>
          <w:kern w:val="0"/>
          <w:sz w:val="36"/>
          <w:szCs w:val="36"/>
        </w:rPr>
        <w:t>（七）非营利性服务业</w:t>
      </w:r>
    </w:p>
    <w:p>
      <w:pPr>
        <w:keepNext w:val="0"/>
        <w:keepLines w:val="0"/>
        <w:pageBreakBefore w:val="0"/>
        <w:kinsoku/>
        <w:wordWrap/>
        <w:overflowPunct/>
        <w:topLinePunct w:val="0"/>
        <w:autoSpaceDE/>
        <w:autoSpaceDN/>
        <w:bidi w:val="0"/>
        <w:spacing w:line="600" w:lineRule="exact"/>
        <w:ind w:firstLine="723" w:firstLineChars="200"/>
        <w:rPr>
          <w:rFonts w:ascii="仿宋_GB2312" w:hAnsi="仿宋_GB2312" w:eastAsia="仿宋_GB2312" w:cs="仿宋_GB2312"/>
          <w:bCs/>
          <w:color w:val="auto"/>
          <w:sz w:val="36"/>
          <w:szCs w:val="36"/>
        </w:rPr>
      </w:pPr>
      <w:r>
        <w:rPr>
          <w:rFonts w:hint="eastAsia" w:ascii="仿宋_GB2312" w:hAnsi="仿宋_GB2312" w:eastAsia="仿宋_GB2312" w:cs="仿宋_GB2312"/>
          <w:b/>
          <w:bCs/>
          <w:color w:val="auto"/>
          <w:kern w:val="0"/>
          <w:sz w:val="36"/>
          <w:szCs w:val="36"/>
        </w:rPr>
        <w:t>目标任务：</w:t>
      </w:r>
      <w:r>
        <w:rPr>
          <w:rFonts w:hint="eastAsia" w:ascii="仿宋_GB2312" w:hAnsi="仿宋_GB2312" w:eastAsia="仿宋_GB2312" w:cs="仿宋_GB2312"/>
          <w:color w:val="auto"/>
          <w:sz w:val="36"/>
          <w:szCs w:val="36"/>
        </w:rPr>
        <w:t>水利、环境和公共设施管理业，教育，卫生和社会工作，公共管理、社会保障和社会组织等非营利性服务业增加值每年保持7%以上的增速，到2025年，增加</w:t>
      </w:r>
      <w:r>
        <w:rPr>
          <w:rFonts w:hint="eastAsia" w:ascii="仿宋_GB2312" w:hAnsi="仿宋_GB2312" w:eastAsia="仿宋_GB2312" w:cs="仿宋_GB2312"/>
          <w:bCs/>
          <w:color w:val="auto"/>
          <w:sz w:val="36"/>
          <w:szCs w:val="36"/>
        </w:rPr>
        <w:t>值达到310亿元以上。</w:t>
      </w:r>
    </w:p>
    <w:p>
      <w:pPr>
        <w:pStyle w:val="18"/>
        <w:keepNext w:val="0"/>
        <w:keepLines w:val="0"/>
        <w:pageBreakBefore w:val="0"/>
        <w:kinsoku/>
        <w:wordWrap/>
        <w:overflowPunct/>
        <w:topLinePunct w:val="0"/>
        <w:autoSpaceDE/>
        <w:autoSpaceDN/>
        <w:bidi w:val="0"/>
        <w:spacing w:after="0" w:line="600" w:lineRule="exact"/>
        <w:ind w:left="0" w:leftChars="0" w:firstLine="723" w:firstLineChars="200"/>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b/>
          <w:bCs/>
          <w:color w:val="auto"/>
          <w:sz w:val="36"/>
          <w:szCs w:val="36"/>
          <w:lang w:eastAsia="zh-CN"/>
        </w:rPr>
        <w:t>重点方向：</w:t>
      </w:r>
      <w:r>
        <w:rPr>
          <w:rFonts w:hint="eastAsia" w:ascii="仿宋_GB2312" w:hAnsi="仿宋_GB2312" w:eastAsia="仿宋_GB2312" w:cs="仿宋_GB2312"/>
          <w:color w:val="auto"/>
          <w:sz w:val="36"/>
          <w:szCs w:val="36"/>
          <w:lang w:eastAsia="zh-CN"/>
        </w:rPr>
        <w:t>推进教育，卫生和社会工作，公共管理、社会保障和社会组织等公共事业市场化，丰富教育、卫生、养老等民生福祉业态供给。推动交通出行、医疗健康、教育文化、空间位置等与民生息息相关领域的数据资源向社会开放，支持发展体验经济。依托“海丝一号”“海丝二号”资源卫星，集成水利、环境和公共设施管理业应用，提升智慧城市技术、管理水平。</w:t>
      </w:r>
    </w:p>
    <w:p>
      <w:pPr>
        <w:pStyle w:val="22"/>
        <w:keepNext w:val="0"/>
        <w:keepLines w:val="0"/>
        <w:pageBreakBefore w:val="0"/>
        <w:kinsoku/>
        <w:wordWrap/>
        <w:overflowPunct/>
        <w:topLinePunct w:val="0"/>
        <w:autoSpaceDE/>
        <w:autoSpaceDN/>
        <w:bidi w:val="0"/>
        <w:spacing w:line="580" w:lineRule="exact"/>
        <w:ind w:firstLine="723" w:firstLineChars="200"/>
        <w:jc w:val="both"/>
        <w:textAlignment w:val="auto"/>
        <w:rPr>
          <w:b/>
          <w:bCs/>
          <w:lang w:eastAsia="zh-CN"/>
        </w:rPr>
      </w:pPr>
      <w:r>
        <w:rPr>
          <w:rFonts w:hint="eastAsia" w:ascii="仿宋_GB2312" w:hAnsi="仿宋_GB2312" w:eastAsia="仿宋_GB2312" w:cs="仿宋_GB2312"/>
          <w:b/>
          <w:bCs/>
          <w:color w:val="auto"/>
          <w:kern w:val="2"/>
          <w:sz w:val="36"/>
          <w:szCs w:val="36"/>
          <w:lang w:val="en-US" w:eastAsia="zh-CN" w:bidi="ar-SA"/>
        </w:rPr>
        <w:t>责任单位：</w:t>
      </w:r>
      <w:r>
        <w:rPr>
          <w:rFonts w:hint="eastAsia" w:ascii="仿宋_GB2312" w:hAnsi="仿宋_GB2312" w:eastAsia="仿宋_GB2312" w:cs="仿宋_GB2312"/>
          <w:b/>
          <w:bCs/>
          <w:color w:val="000000"/>
          <w:kern w:val="2"/>
          <w:sz w:val="36"/>
          <w:szCs w:val="36"/>
          <w:lang w:val="en-US" w:eastAsia="zh-CN" w:bidi="ar-SA"/>
        </w:rPr>
        <w:t>市水利局、生态环境局、城管局、教育局、卫健委、民政局、人社局</w:t>
      </w:r>
      <w:r>
        <w:rPr>
          <w:rFonts w:hint="eastAsia" w:ascii="仿宋_GB2312" w:hAnsi="仿宋_GB2312" w:eastAsia="仿宋_GB2312" w:cs="仿宋_GB2312"/>
          <w:b/>
          <w:bCs/>
          <w:sz w:val="36"/>
          <w:szCs w:val="36"/>
          <w:lang w:val="en-US" w:eastAsia="zh-CN"/>
        </w:rPr>
        <w:t>，各县（市、区）人民政府</w:t>
      </w:r>
    </w:p>
    <w:p>
      <w:pPr>
        <w:keepNext w:val="0"/>
        <w:keepLines w:val="0"/>
        <w:pageBreakBefore w:val="0"/>
        <w:kinsoku/>
        <w:wordWrap/>
        <w:overflowPunct/>
        <w:topLinePunct w:val="0"/>
        <w:autoSpaceDE/>
        <w:autoSpaceDN/>
        <w:bidi w:val="0"/>
        <w:spacing w:line="600" w:lineRule="exact"/>
        <w:ind w:firstLine="720" w:firstLineChars="200"/>
        <w:rPr>
          <w:rFonts w:ascii="黑体" w:hAnsi="黑体" w:eastAsia="黑体"/>
          <w:color w:val="auto"/>
          <w:sz w:val="36"/>
          <w:szCs w:val="36"/>
        </w:rPr>
      </w:pPr>
      <w:r>
        <w:rPr>
          <w:rFonts w:hint="eastAsia" w:ascii="黑体" w:hAnsi="黑体" w:eastAsia="黑体"/>
          <w:color w:val="auto"/>
          <w:sz w:val="36"/>
          <w:szCs w:val="36"/>
        </w:rPr>
        <w:t>三、工作措施</w:t>
      </w:r>
    </w:p>
    <w:p>
      <w:pPr>
        <w:keepNext w:val="0"/>
        <w:keepLines w:val="0"/>
        <w:pageBreakBefore w:val="0"/>
        <w:widowControl w:val="0"/>
        <w:kinsoku/>
        <w:wordWrap/>
        <w:overflowPunct/>
        <w:topLinePunct w:val="0"/>
        <w:autoSpaceDE/>
        <w:autoSpaceDN/>
        <w:bidi w:val="0"/>
        <w:snapToGrid/>
        <w:spacing w:line="600" w:lineRule="exact"/>
        <w:ind w:firstLine="723" w:firstLineChars="200"/>
        <w:rPr>
          <w:rFonts w:hint="eastAsia" w:ascii="仿宋_GB2312" w:hAnsi="仿宋_GB2312" w:eastAsia="仿宋_GB2312" w:cs="仿宋_GB2312"/>
          <w:b w:val="0"/>
          <w:color w:val="auto"/>
          <w:kern w:val="0"/>
          <w:sz w:val="36"/>
          <w:szCs w:val="36"/>
          <w:lang w:val="en-US" w:eastAsia="zh-CN" w:bidi="ar-SA"/>
        </w:rPr>
      </w:pPr>
      <w:r>
        <w:rPr>
          <w:rFonts w:ascii="楷体_GB2312" w:hAnsi="楷体_GB2312" w:eastAsia="楷体_GB2312" w:cs="楷体_GB2312"/>
          <w:b/>
          <w:bCs/>
          <w:color w:val="auto"/>
          <w:kern w:val="0"/>
          <w:sz w:val="36"/>
          <w:szCs w:val="36"/>
        </w:rPr>
        <w:t>（</w:t>
      </w:r>
      <w:r>
        <w:rPr>
          <w:rFonts w:hint="eastAsia" w:ascii="楷体_GB2312" w:hAnsi="楷体_GB2312" w:eastAsia="楷体_GB2312" w:cs="楷体_GB2312"/>
          <w:b/>
          <w:bCs/>
          <w:color w:val="auto"/>
          <w:kern w:val="0"/>
          <w:sz w:val="36"/>
          <w:szCs w:val="36"/>
        </w:rPr>
        <w:t>一</w:t>
      </w:r>
      <w:r>
        <w:rPr>
          <w:rFonts w:ascii="楷体_GB2312" w:hAnsi="楷体_GB2312" w:eastAsia="楷体_GB2312" w:cs="楷体_GB2312"/>
          <w:b/>
          <w:bCs/>
          <w:color w:val="auto"/>
          <w:kern w:val="0"/>
          <w:sz w:val="36"/>
          <w:szCs w:val="36"/>
        </w:rPr>
        <w:t>）</w:t>
      </w:r>
      <w:r>
        <w:rPr>
          <w:rFonts w:hint="eastAsia" w:ascii="楷体_GB2312" w:hAnsi="楷体_GB2312" w:eastAsia="楷体_GB2312" w:cs="楷体_GB2312"/>
          <w:b/>
          <w:bCs/>
          <w:color w:val="auto"/>
          <w:kern w:val="0"/>
          <w:sz w:val="36"/>
          <w:szCs w:val="36"/>
        </w:rPr>
        <w:t>突出</w:t>
      </w:r>
      <w:r>
        <w:rPr>
          <w:rFonts w:ascii="楷体_GB2312" w:hAnsi="楷体_GB2312" w:eastAsia="楷体_GB2312" w:cs="楷体_GB2312"/>
          <w:b/>
          <w:bCs/>
          <w:color w:val="auto"/>
          <w:kern w:val="0"/>
          <w:sz w:val="36"/>
          <w:szCs w:val="36"/>
        </w:rPr>
        <w:t>抓</w:t>
      </w:r>
      <w:r>
        <w:rPr>
          <w:rFonts w:hint="eastAsia" w:ascii="楷体_GB2312" w:hAnsi="楷体_GB2312" w:eastAsia="楷体_GB2312" w:cs="楷体_GB2312"/>
          <w:b/>
          <w:bCs/>
          <w:color w:val="auto"/>
          <w:kern w:val="0"/>
          <w:sz w:val="36"/>
          <w:szCs w:val="36"/>
        </w:rPr>
        <w:t>好</w:t>
      </w:r>
      <w:r>
        <w:rPr>
          <w:rFonts w:ascii="楷体_GB2312" w:hAnsi="楷体_GB2312" w:eastAsia="楷体_GB2312" w:cs="楷体_GB2312"/>
          <w:b/>
          <w:bCs/>
          <w:color w:val="auto"/>
          <w:kern w:val="0"/>
          <w:sz w:val="36"/>
          <w:szCs w:val="36"/>
        </w:rPr>
        <w:t>招商</w:t>
      </w:r>
      <w:r>
        <w:rPr>
          <w:rFonts w:hint="eastAsia" w:ascii="楷体_GB2312" w:hAnsi="楷体_GB2312" w:eastAsia="楷体_GB2312" w:cs="楷体_GB2312"/>
          <w:b/>
          <w:bCs/>
          <w:color w:val="auto"/>
          <w:kern w:val="0"/>
          <w:sz w:val="36"/>
          <w:szCs w:val="36"/>
        </w:rPr>
        <w:t>引资</w:t>
      </w:r>
      <w:r>
        <w:rPr>
          <w:rFonts w:ascii="楷体_GB2312" w:hAnsi="楷体_GB2312" w:eastAsia="楷体_GB2312" w:cs="楷体_GB2312"/>
          <w:b/>
          <w:bCs/>
          <w:color w:val="auto"/>
          <w:kern w:val="0"/>
          <w:sz w:val="36"/>
          <w:szCs w:val="36"/>
        </w:rPr>
        <w:t>。</w:t>
      </w:r>
      <w:r>
        <w:rPr>
          <w:rFonts w:hint="eastAsia" w:ascii="仿宋_GB2312" w:hAnsi="仿宋_GB2312" w:eastAsia="仿宋_GB2312" w:cs="仿宋_GB2312"/>
          <w:b w:val="0"/>
          <w:color w:val="auto"/>
          <w:kern w:val="0"/>
          <w:sz w:val="36"/>
          <w:szCs w:val="36"/>
          <w:lang w:val="en-US" w:eastAsia="zh-CN" w:bidi="ar-SA"/>
        </w:rPr>
        <w:t>大招商招好商是发展壮大第三产业的重要举措，要认真落实市委市政府关于现代服务业招商的工作部署。</w:t>
      </w:r>
      <w:r>
        <w:rPr>
          <w:rFonts w:hint="eastAsia" w:ascii="仿宋_GB2312" w:hAnsi="仿宋_GB2312" w:eastAsia="仿宋_GB2312" w:cs="仿宋_GB2312"/>
          <w:b/>
          <w:bCs/>
          <w:color w:val="auto"/>
          <w:kern w:val="0"/>
          <w:sz w:val="36"/>
          <w:szCs w:val="36"/>
          <w:lang w:val="en-US" w:eastAsia="zh-CN" w:bidi="ar-SA"/>
        </w:rPr>
        <w:t>突出招商项目谋划。</w:t>
      </w:r>
      <w:r>
        <w:rPr>
          <w:rFonts w:hint="eastAsia" w:ascii="仿宋_GB2312" w:hAnsi="仿宋_GB2312" w:eastAsia="仿宋_GB2312" w:cs="仿宋_GB2312"/>
          <w:b w:val="0"/>
          <w:color w:val="auto"/>
          <w:kern w:val="0"/>
          <w:sz w:val="36"/>
          <w:szCs w:val="36"/>
          <w:lang w:val="en-US" w:eastAsia="zh-CN" w:bidi="ar-SA"/>
        </w:rPr>
        <w:t>全市每年谋划投资5000万元以上的招商项目90个以上，实际签约项目50个以上。各县（市、区）每年谋划招商项目不少于7个，其中，三元区、沙县区、永安市每年谋划10个以上。</w:t>
      </w:r>
      <w:r>
        <w:rPr>
          <w:rFonts w:hint="eastAsia" w:ascii="仿宋_GB2312" w:hAnsi="仿宋_GB2312" w:eastAsia="仿宋_GB2312" w:cs="仿宋_GB2312"/>
          <w:b/>
          <w:bCs/>
          <w:color w:val="auto"/>
          <w:kern w:val="0"/>
          <w:sz w:val="36"/>
          <w:szCs w:val="36"/>
          <w:lang w:val="en-US" w:eastAsia="zh-CN" w:bidi="ar-SA"/>
        </w:rPr>
        <w:t>突出产业链招商。</w:t>
      </w:r>
      <w:r>
        <w:rPr>
          <w:rFonts w:hint="eastAsia" w:ascii="仿宋_GB2312" w:hAnsi="仿宋_GB2312" w:eastAsia="仿宋_GB2312" w:cs="仿宋_GB2312"/>
          <w:b w:val="0"/>
          <w:color w:val="auto"/>
          <w:kern w:val="0"/>
          <w:sz w:val="36"/>
          <w:szCs w:val="36"/>
          <w:lang w:val="en-US" w:eastAsia="zh-CN" w:bidi="ar-SA"/>
        </w:rPr>
        <w:t>用好“招商地图工作法”，围绕现代物流、文旅康养2条百亿特色产业链，及商贸流通、金融服务、商务服务、数字经济等现代服务业产业链的产业基础、补缺方向和招商重点，紧盯“头部”“链主”企业，开展精准招商。各县（市、区）要瞄准产业链短板与劣势环节，对现有产业链进行延链、补链、强链</w:t>
      </w:r>
      <w:r>
        <w:rPr>
          <w:rFonts w:hint="default" w:ascii="仿宋_GB2312" w:hAnsi="仿宋_GB2312" w:eastAsia="仿宋_GB2312" w:cs="仿宋_GB2312"/>
          <w:b w:val="0"/>
          <w:color w:val="auto"/>
          <w:kern w:val="0"/>
          <w:sz w:val="36"/>
          <w:szCs w:val="36"/>
          <w:lang w:val="en-US" w:eastAsia="zh-CN" w:bidi="ar-SA"/>
        </w:rPr>
        <w:t>招商,</w:t>
      </w:r>
      <w:r>
        <w:rPr>
          <w:rFonts w:hint="eastAsia" w:ascii="仿宋_GB2312" w:hAnsi="仿宋_GB2312" w:eastAsia="仿宋_GB2312" w:cs="仿宋_GB2312"/>
          <w:b w:val="0"/>
          <w:color w:val="auto"/>
          <w:kern w:val="0"/>
          <w:sz w:val="36"/>
          <w:szCs w:val="36"/>
          <w:lang w:val="en-US" w:eastAsia="zh-CN" w:bidi="ar-SA"/>
        </w:rPr>
        <w:t>每个产业链确定3-5家目标企业，建立常态化对接机制。</w:t>
      </w:r>
      <w:r>
        <w:rPr>
          <w:rFonts w:hint="eastAsia" w:ascii="仿宋_GB2312" w:hAnsi="仿宋_GB2312" w:eastAsia="仿宋_GB2312" w:cs="仿宋_GB2312"/>
          <w:b/>
          <w:bCs/>
          <w:color w:val="auto"/>
          <w:kern w:val="0"/>
          <w:sz w:val="36"/>
          <w:szCs w:val="36"/>
          <w:lang w:val="en-US" w:eastAsia="zh-CN" w:bidi="ar-SA"/>
        </w:rPr>
        <w:t>突出招商项目转化。</w:t>
      </w:r>
      <w:r>
        <w:rPr>
          <w:rFonts w:hint="eastAsia" w:ascii="仿宋_GB2312" w:hAnsi="仿宋_GB2312" w:eastAsia="仿宋_GB2312" w:cs="仿宋_GB2312"/>
          <w:b w:val="0"/>
          <w:color w:val="auto"/>
          <w:kern w:val="0"/>
          <w:sz w:val="36"/>
          <w:szCs w:val="36"/>
          <w:lang w:val="en-US" w:eastAsia="zh-CN" w:bidi="ar-SA"/>
        </w:rPr>
        <w:t>落实招商项目帮办服务机制，扎实推进意向、协议、合同项目升格转段、落实落地。各县（市、区）原则上谋划项目转签约比例要达到40%左右，</w:t>
      </w:r>
      <w:r>
        <w:rPr>
          <w:rFonts w:hint="eastAsia" w:ascii="仿宋_GB2312" w:hAnsi="仿宋_GB2312" w:eastAsia="仿宋_GB2312" w:cs="仿宋_GB2312"/>
          <w:b w:val="0"/>
          <w:color w:val="auto"/>
          <w:kern w:val="0"/>
          <w:sz w:val="36"/>
          <w:szCs w:val="36"/>
          <w:lang w:val="en-US" w:eastAsia="zh-CN" w:bidi="ar-SA"/>
        </w:rPr>
        <w:t>着力</w:t>
      </w:r>
      <w:r>
        <w:rPr>
          <w:rFonts w:hint="default" w:ascii="仿宋_GB2312" w:hAnsi="仿宋_GB2312" w:eastAsia="仿宋_GB2312" w:cs="仿宋_GB2312"/>
          <w:b w:val="0"/>
          <w:color w:val="auto"/>
          <w:kern w:val="0"/>
          <w:sz w:val="36"/>
          <w:szCs w:val="36"/>
          <w:lang w:val="en-US" w:eastAsia="zh-CN" w:bidi="ar-SA"/>
        </w:rPr>
        <w:t>实现签约</w:t>
      </w:r>
      <w:r>
        <w:rPr>
          <w:rFonts w:hint="eastAsia" w:ascii="仿宋_GB2312" w:hAnsi="仿宋_GB2312" w:eastAsia="仿宋_GB2312" w:cs="仿宋_GB2312"/>
          <w:b w:val="0"/>
          <w:color w:val="auto"/>
          <w:kern w:val="0"/>
          <w:sz w:val="36"/>
          <w:szCs w:val="36"/>
          <w:lang w:val="en-US" w:eastAsia="zh-CN" w:bidi="ar-SA"/>
        </w:rPr>
        <w:t>项目尽快</w:t>
      </w:r>
      <w:r>
        <w:rPr>
          <w:rFonts w:hint="default" w:ascii="仿宋_GB2312" w:hAnsi="仿宋_GB2312" w:eastAsia="仿宋_GB2312" w:cs="仿宋_GB2312"/>
          <w:b w:val="0"/>
          <w:color w:val="auto"/>
          <w:kern w:val="0"/>
          <w:sz w:val="36"/>
          <w:szCs w:val="36"/>
          <w:lang w:val="en-US" w:eastAsia="zh-CN" w:bidi="ar-SA"/>
        </w:rPr>
        <w:t>开工</w:t>
      </w:r>
      <w:r>
        <w:rPr>
          <w:rFonts w:hint="eastAsia" w:ascii="仿宋_GB2312" w:hAnsi="仿宋_GB2312" w:eastAsia="仿宋_GB2312" w:cs="仿宋_GB2312"/>
          <w:b w:val="0"/>
          <w:color w:val="auto"/>
          <w:kern w:val="0"/>
          <w:sz w:val="36"/>
          <w:szCs w:val="36"/>
          <w:lang w:val="en-US" w:eastAsia="zh-CN" w:bidi="ar-SA"/>
        </w:rPr>
        <w:t>建设，推动一批重大招商项目列入全市第三产业重点项目盘子。三元区、沙县区、永安市发挥中心城市重要增长极作用，每年实施项目不少于13个；其他各县每年实施项目7个以上。</w:t>
      </w:r>
    </w:p>
    <w:p>
      <w:pPr>
        <w:pStyle w:val="2"/>
        <w:rPr>
          <w:rFonts w:ascii="仿宋_GB2312" w:hAnsi="仿宋_GB2312" w:eastAsia="仿宋_GB2312" w:cs="仿宋_GB2312"/>
          <w:color w:val="auto"/>
          <w:sz w:val="36"/>
          <w:szCs w:val="36"/>
        </w:rPr>
      </w:pPr>
      <w:r>
        <w:rPr>
          <w:rFonts w:hint="eastAsia" w:ascii="楷体_GB2312" w:hAnsi="楷体_GB2312" w:eastAsia="楷体_GB2312" w:cs="楷体_GB2312"/>
          <w:b/>
          <w:bCs/>
          <w:color w:val="auto"/>
          <w:kern w:val="0"/>
          <w:sz w:val="36"/>
          <w:szCs w:val="36"/>
        </w:rPr>
        <w:t>（二）扎实推进</w:t>
      </w:r>
      <w:r>
        <w:rPr>
          <w:rFonts w:hint="eastAsia" w:ascii="楷体_GB2312" w:hAnsi="楷体_GB2312" w:eastAsia="楷体_GB2312" w:cs="楷体_GB2312"/>
          <w:b/>
          <w:bCs/>
          <w:color w:val="auto"/>
          <w:kern w:val="0"/>
          <w:sz w:val="36"/>
          <w:szCs w:val="36"/>
          <w:lang w:eastAsia="zh-CN"/>
        </w:rPr>
        <w:t>“纳统入规”</w:t>
      </w:r>
      <w:r>
        <w:rPr>
          <w:rFonts w:hint="eastAsia" w:ascii="楷体_GB2312" w:hAnsi="楷体_GB2312" w:eastAsia="楷体_GB2312" w:cs="楷体_GB2312"/>
          <w:b/>
          <w:bCs/>
          <w:color w:val="auto"/>
          <w:kern w:val="0"/>
          <w:sz w:val="36"/>
          <w:szCs w:val="36"/>
        </w:rPr>
        <w:t>。</w:t>
      </w:r>
      <w:r>
        <w:rPr>
          <w:rFonts w:hint="eastAsia" w:ascii="仿宋_GB2312" w:hAnsi="仿宋_GB2312" w:eastAsia="仿宋_GB2312" w:cs="仿宋_GB2312"/>
          <w:color w:val="auto"/>
          <w:kern w:val="0"/>
          <w:sz w:val="36"/>
          <w:szCs w:val="36"/>
          <w:lang w:val="en-US" w:eastAsia="zh-CN" w:bidi="ar-SA"/>
        </w:rPr>
        <w:t>依法依规做好企业“纳统入规”工作，从源头夯实基础数据质量，对</w:t>
      </w:r>
      <w:r>
        <w:rPr>
          <w:rFonts w:hint="eastAsia" w:hAnsi="仿宋_GB2312" w:eastAsia="仿宋_GB2312" w:cs="仿宋_GB2312"/>
          <w:color w:val="auto"/>
          <w:kern w:val="0"/>
          <w:sz w:val="36"/>
          <w:szCs w:val="36"/>
          <w:lang w:val="en-US" w:eastAsia="zh-CN" w:bidi="ar-SA"/>
        </w:rPr>
        <w:t>于</w:t>
      </w:r>
      <w:r>
        <w:rPr>
          <w:rFonts w:hint="eastAsia" w:ascii="仿宋_GB2312" w:hAnsi="仿宋_GB2312" w:eastAsia="仿宋_GB2312" w:cs="仿宋_GB2312"/>
          <w:color w:val="auto"/>
          <w:kern w:val="0"/>
          <w:sz w:val="36"/>
          <w:szCs w:val="36"/>
          <w:lang w:val="en-US" w:eastAsia="zh-CN" w:bidi="ar-SA"/>
        </w:rPr>
        <w:t>准确、全面、及时反映全市经济社会发展水平具有至关重要的作用。</w:t>
      </w:r>
      <w:r>
        <w:rPr>
          <w:rFonts w:hint="eastAsia" w:ascii="仿宋_GB2312" w:hAnsi="仿宋_GB2312" w:eastAsia="仿宋_GB2312" w:cs="仿宋_GB2312"/>
          <w:b/>
          <w:color w:val="auto"/>
          <w:sz w:val="36"/>
          <w:szCs w:val="36"/>
        </w:rPr>
        <w:t>做好建库培育。</w:t>
      </w:r>
      <w:r>
        <w:rPr>
          <w:rFonts w:hint="eastAsia" w:ascii="仿宋_GB2312" w:hAnsi="仿宋_GB2312" w:eastAsia="仿宋_GB2312" w:cs="仿宋_GB2312"/>
          <w:color w:val="auto"/>
          <w:sz w:val="36"/>
          <w:szCs w:val="36"/>
        </w:rPr>
        <w:t>扎实开展重点企业、个体大户摸排核查，</w:t>
      </w:r>
      <w:r>
        <w:rPr>
          <w:rFonts w:hint="eastAsia" w:ascii="仿宋_GB2312" w:hAnsi="仿宋_GB2312" w:eastAsia="仿宋_GB2312" w:cs="仿宋_GB2312"/>
          <w:color w:val="auto"/>
          <w:kern w:val="0"/>
          <w:sz w:val="36"/>
          <w:szCs w:val="36"/>
        </w:rPr>
        <w:t>全市每年筛选发展前景较好的150家左右商贸企业和100家左右服务业企业，纳入全市</w:t>
      </w:r>
      <w:r>
        <w:rPr>
          <w:rFonts w:hint="eastAsia" w:hAnsi="仿宋_GB2312" w:eastAsia="仿宋_GB2312" w:cs="仿宋_GB2312"/>
          <w:color w:val="auto"/>
          <w:kern w:val="0"/>
          <w:sz w:val="36"/>
          <w:szCs w:val="36"/>
          <w:lang w:eastAsia="zh-CN"/>
        </w:rPr>
        <w:t>“</w:t>
      </w:r>
      <w:r>
        <w:rPr>
          <w:rFonts w:hint="eastAsia" w:ascii="仿宋_GB2312" w:hAnsi="仿宋_GB2312" w:eastAsia="仿宋_GB2312" w:cs="仿宋_GB2312"/>
          <w:color w:val="auto"/>
          <w:kern w:val="0"/>
          <w:sz w:val="36"/>
          <w:szCs w:val="36"/>
        </w:rPr>
        <w:t>上限上规</w:t>
      </w:r>
      <w:r>
        <w:rPr>
          <w:rFonts w:hint="eastAsia" w:hAnsi="仿宋_GB2312" w:eastAsia="仿宋_GB2312" w:cs="仿宋_GB2312"/>
          <w:color w:val="auto"/>
          <w:kern w:val="0"/>
          <w:sz w:val="36"/>
          <w:szCs w:val="36"/>
          <w:lang w:eastAsia="zh-CN"/>
        </w:rPr>
        <w:t>”</w:t>
      </w:r>
      <w:r>
        <w:rPr>
          <w:rFonts w:hint="eastAsia" w:ascii="仿宋_GB2312" w:hAnsi="仿宋_GB2312" w:eastAsia="仿宋_GB2312" w:cs="仿宋_GB2312"/>
          <w:color w:val="auto"/>
          <w:kern w:val="0"/>
          <w:sz w:val="36"/>
          <w:szCs w:val="36"/>
        </w:rPr>
        <w:t>后备企业库，作为重点培育对象</w:t>
      </w:r>
      <w:r>
        <w:rPr>
          <w:rFonts w:hint="eastAsia" w:ascii="仿宋_GB2312" w:hAnsi="仿宋_GB2312" w:eastAsia="仿宋_GB2312" w:cs="仿宋_GB2312"/>
          <w:color w:val="auto"/>
          <w:sz w:val="36"/>
          <w:szCs w:val="36"/>
        </w:rPr>
        <w:t>。</w:t>
      </w:r>
      <w:r>
        <w:rPr>
          <w:rFonts w:hint="eastAsia" w:ascii="仿宋_GB2312" w:hAnsi="仿宋_GB2312" w:eastAsia="仿宋_GB2312" w:cs="仿宋_GB2312"/>
          <w:b/>
          <w:color w:val="auto"/>
          <w:sz w:val="36"/>
          <w:szCs w:val="36"/>
          <w:lang w:eastAsia="zh-CN"/>
        </w:rPr>
        <w:t>开展</w:t>
      </w:r>
      <w:r>
        <w:rPr>
          <w:rFonts w:hint="eastAsia" w:ascii="仿宋_GB2312" w:hAnsi="仿宋_GB2312" w:eastAsia="仿宋_GB2312" w:cs="仿宋_GB2312"/>
          <w:b/>
          <w:color w:val="auto"/>
          <w:sz w:val="36"/>
          <w:szCs w:val="36"/>
        </w:rPr>
        <w:t>分类指导</w:t>
      </w:r>
      <w:r>
        <w:rPr>
          <w:rFonts w:hint="eastAsia" w:ascii="仿宋_GB2312" w:hAnsi="仿宋_GB2312" w:eastAsia="仿宋_GB2312" w:cs="仿宋_GB2312"/>
          <w:color w:val="auto"/>
          <w:sz w:val="36"/>
          <w:szCs w:val="36"/>
        </w:rPr>
        <w:t>。</w:t>
      </w:r>
      <w:r>
        <w:rPr>
          <w:rFonts w:hint="eastAsia" w:ascii="仿宋_GB2312" w:hAnsi="仿宋_GB2312" w:eastAsia="仿宋_GB2312" w:cs="仿宋_GB2312"/>
          <w:color w:val="auto"/>
          <w:sz w:val="36"/>
          <w:szCs w:val="36"/>
          <w:shd w:val="clear" w:color="auto" w:fill="FFFFFF"/>
        </w:rPr>
        <w:t>各行业主管部门要建立行业“个转企、小升规、下转上”后备企业管理库</w:t>
      </w:r>
      <w:r>
        <w:rPr>
          <w:rFonts w:hint="eastAsia" w:ascii="仿宋_GB2312" w:hAnsi="仿宋_GB2312" w:eastAsia="仿宋_GB2312" w:cs="仿宋_GB2312"/>
          <w:color w:val="auto"/>
          <w:kern w:val="0"/>
          <w:sz w:val="36"/>
          <w:szCs w:val="36"/>
        </w:rPr>
        <w:t>，</w:t>
      </w:r>
      <w:r>
        <w:rPr>
          <w:rFonts w:hint="eastAsia" w:ascii="仿宋_GB2312" w:hAnsi="仿宋_GB2312" w:eastAsia="仿宋_GB2312" w:cs="仿宋_GB2312"/>
          <w:color w:val="auto"/>
          <w:sz w:val="36"/>
          <w:szCs w:val="36"/>
          <w:shd w:val="clear" w:color="auto" w:fill="FFFFFF"/>
        </w:rPr>
        <w:t>突出分类指导和服务，深入开展政策解读、</w:t>
      </w:r>
      <w:r>
        <w:rPr>
          <w:rFonts w:hint="eastAsia" w:hAnsi="仿宋_GB2312" w:eastAsia="仿宋_GB2312" w:cs="仿宋_GB2312"/>
          <w:color w:val="auto"/>
          <w:sz w:val="36"/>
          <w:szCs w:val="36"/>
          <w:shd w:val="clear" w:color="auto" w:fill="FFFFFF"/>
          <w:lang w:eastAsia="zh-CN"/>
        </w:rPr>
        <w:t>“</w:t>
      </w:r>
      <w:r>
        <w:rPr>
          <w:rFonts w:hint="eastAsia" w:ascii="仿宋_GB2312" w:hAnsi="仿宋_GB2312" w:eastAsia="仿宋_GB2312" w:cs="仿宋_GB2312"/>
          <w:color w:val="auto"/>
          <w:sz w:val="36"/>
          <w:szCs w:val="36"/>
          <w:shd w:val="clear" w:color="auto" w:fill="FFFFFF"/>
        </w:rPr>
        <w:t>上限上规</w:t>
      </w:r>
      <w:r>
        <w:rPr>
          <w:rFonts w:hint="eastAsia" w:hAnsi="仿宋_GB2312" w:eastAsia="仿宋_GB2312" w:cs="仿宋_GB2312"/>
          <w:color w:val="auto"/>
          <w:sz w:val="36"/>
          <w:szCs w:val="36"/>
          <w:shd w:val="clear" w:color="auto" w:fill="FFFFFF"/>
          <w:lang w:eastAsia="zh-CN"/>
        </w:rPr>
        <w:t>”</w:t>
      </w:r>
      <w:r>
        <w:rPr>
          <w:rFonts w:hint="eastAsia" w:ascii="仿宋_GB2312" w:hAnsi="仿宋_GB2312" w:eastAsia="仿宋_GB2312" w:cs="仿宋_GB2312"/>
          <w:color w:val="auto"/>
          <w:sz w:val="36"/>
          <w:szCs w:val="36"/>
          <w:shd w:val="clear" w:color="auto" w:fill="FFFFFF"/>
        </w:rPr>
        <w:t>指导、转型发展等专题培训，提高个体工商户、企业入库入统的主动性和积极性</w:t>
      </w:r>
      <w:r>
        <w:rPr>
          <w:rFonts w:hint="eastAsia" w:ascii="仿宋_GB2312" w:hAnsi="仿宋_GB2312" w:eastAsia="仿宋_GB2312" w:cs="仿宋_GB2312"/>
          <w:color w:val="auto"/>
          <w:sz w:val="36"/>
          <w:szCs w:val="36"/>
          <w:shd w:val="clear" w:color="auto" w:fill="FFFFFF"/>
          <w:lang w:eastAsia="zh-CN"/>
        </w:rPr>
        <w:t>，推动花卉、莲子等特色农业产业</w:t>
      </w:r>
      <w:r>
        <w:rPr>
          <w:rFonts w:hint="eastAsia" w:hAnsi="仿宋_GB2312" w:eastAsia="仿宋_GB2312" w:cs="仿宋_GB2312"/>
          <w:color w:val="auto"/>
          <w:sz w:val="36"/>
          <w:szCs w:val="36"/>
          <w:shd w:val="clear" w:color="auto" w:fill="FFFFFF"/>
          <w:lang w:eastAsia="zh-CN"/>
        </w:rPr>
        <w:t>、</w:t>
      </w:r>
      <w:r>
        <w:rPr>
          <w:rFonts w:hint="eastAsia" w:ascii="仿宋_GB2312" w:hAnsi="仿宋_GB2312" w:eastAsia="仿宋_GB2312" w:cs="仿宋_GB2312"/>
          <w:color w:val="auto"/>
          <w:sz w:val="36"/>
          <w:szCs w:val="36"/>
          <w:shd w:val="clear" w:color="auto" w:fill="FFFFFF"/>
        </w:rPr>
        <w:t>建材、纺织、林产等重点工业</w:t>
      </w:r>
      <w:r>
        <w:rPr>
          <w:rFonts w:hint="eastAsia" w:hAnsi="仿宋_GB2312" w:eastAsia="仿宋_GB2312" w:cs="仿宋_GB2312"/>
          <w:color w:val="auto"/>
          <w:sz w:val="36"/>
          <w:szCs w:val="36"/>
          <w:shd w:val="clear" w:color="auto" w:fill="FFFFFF"/>
          <w:lang w:eastAsia="zh-CN"/>
        </w:rPr>
        <w:t>企业上规模</w:t>
      </w:r>
      <w:r>
        <w:rPr>
          <w:rFonts w:hint="eastAsia" w:ascii="仿宋_GB2312" w:hAnsi="仿宋_GB2312" w:eastAsia="仿宋_GB2312" w:cs="仿宋_GB2312"/>
          <w:color w:val="auto"/>
          <w:sz w:val="36"/>
          <w:szCs w:val="36"/>
          <w:shd w:val="clear" w:color="auto" w:fill="FFFFFF"/>
          <w:lang w:eastAsia="zh-CN"/>
        </w:rPr>
        <w:t>，大</w:t>
      </w:r>
      <w:r>
        <w:rPr>
          <w:rFonts w:hint="eastAsia" w:ascii="仿宋_GB2312" w:hAnsi="仿宋_GB2312" w:eastAsia="仿宋_GB2312" w:cs="仿宋_GB2312"/>
          <w:color w:val="auto"/>
          <w:sz w:val="36"/>
          <w:szCs w:val="36"/>
          <w:shd w:val="clear" w:color="auto" w:fill="FFFFFF"/>
          <w:lang w:val="en-US" w:eastAsia="zh-CN"/>
        </w:rPr>
        <w:t>力培育市场主体。</w:t>
      </w:r>
      <w:r>
        <w:rPr>
          <w:rFonts w:hint="eastAsia" w:ascii="仿宋_GB2312" w:hAnsi="仿宋_GB2312" w:eastAsia="仿宋_GB2312" w:cs="仿宋_GB2312"/>
          <w:b/>
          <w:color w:val="auto"/>
          <w:sz w:val="36"/>
          <w:szCs w:val="36"/>
          <w:shd w:val="clear" w:color="auto" w:fill="FFFFFF"/>
        </w:rPr>
        <w:t>扎实有序推进</w:t>
      </w:r>
      <w:r>
        <w:rPr>
          <w:rFonts w:hint="eastAsia" w:ascii="仿宋_GB2312" w:hAnsi="仿宋_GB2312" w:eastAsia="仿宋_GB2312" w:cs="仿宋_GB2312"/>
          <w:color w:val="auto"/>
          <w:sz w:val="36"/>
          <w:szCs w:val="36"/>
          <w:shd w:val="clear" w:color="auto" w:fill="FFFFFF"/>
        </w:rPr>
        <w:t>。</w:t>
      </w:r>
      <w:r>
        <w:rPr>
          <w:rFonts w:ascii="仿宋_GB2312" w:hAnsi="仿宋_GB2312" w:eastAsia="仿宋_GB2312" w:cs="仿宋_GB2312"/>
          <w:color w:val="auto"/>
          <w:sz w:val="36"/>
          <w:szCs w:val="36"/>
        </w:rPr>
        <w:t>全市每年培育</w:t>
      </w:r>
      <w:r>
        <w:rPr>
          <w:rFonts w:hint="eastAsia" w:ascii="仿宋_GB2312" w:hAnsi="仿宋_GB2312" w:eastAsia="仿宋_GB2312" w:cs="仿宋_GB2312"/>
          <w:color w:val="auto"/>
          <w:sz w:val="36"/>
          <w:szCs w:val="36"/>
        </w:rPr>
        <w:t>新增</w:t>
      </w:r>
      <w:r>
        <w:rPr>
          <w:rFonts w:ascii="仿宋_GB2312" w:hAnsi="仿宋_GB2312" w:eastAsia="仿宋_GB2312" w:cs="仿宋_GB2312"/>
          <w:color w:val="auto"/>
          <w:sz w:val="36"/>
          <w:szCs w:val="36"/>
        </w:rPr>
        <w:t>限额以上商贸企业120家以上、规模以上服务业企业80家以上。</w:t>
      </w:r>
      <w:r>
        <w:rPr>
          <w:rFonts w:hint="eastAsia" w:ascii="仿宋_GB2312" w:hAnsi="仿宋_GB2312" w:eastAsia="仿宋_GB2312" w:cs="仿宋_GB2312"/>
          <w:color w:val="auto"/>
          <w:sz w:val="36"/>
          <w:szCs w:val="36"/>
        </w:rPr>
        <w:t>三元区、沙县区、永安市作为三明中心城市的主轴，每年培育新增限</w:t>
      </w:r>
      <w:r>
        <w:rPr>
          <w:rFonts w:ascii="仿宋_GB2312" w:hAnsi="仿宋_GB2312" w:eastAsia="仿宋_GB2312" w:cs="仿宋_GB2312"/>
          <w:color w:val="auto"/>
          <w:sz w:val="36"/>
          <w:szCs w:val="36"/>
        </w:rPr>
        <w:t>额以上</w:t>
      </w:r>
      <w:r>
        <w:rPr>
          <w:rFonts w:hint="eastAsia" w:ascii="仿宋_GB2312" w:hAnsi="仿宋_GB2312" w:eastAsia="仿宋_GB2312" w:cs="仿宋_GB2312"/>
          <w:color w:val="auto"/>
          <w:sz w:val="36"/>
          <w:szCs w:val="36"/>
        </w:rPr>
        <w:t>商贸企业15家以上、规模以上服务业企业10家以上，建立起市场主体的厚度优势；其</w:t>
      </w:r>
      <w:r>
        <w:rPr>
          <w:rFonts w:hint="eastAsia" w:ascii="仿宋_GB2312" w:hAnsi="仿宋_GB2312" w:eastAsia="仿宋_GB2312" w:cs="仿宋_GB2312"/>
          <w:color w:val="auto"/>
          <w:sz w:val="36"/>
          <w:szCs w:val="36"/>
          <w:lang w:eastAsia="zh-CN"/>
        </w:rPr>
        <w:t>他</w:t>
      </w:r>
      <w:r>
        <w:rPr>
          <w:rFonts w:hint="eastAsia" w:ascii="仿宋_GB2312" w:hAnsi="仿宋_GB2312" w:eastAsia="仿宋_GB2312" w:cs="仿宋_GB2312"/>
          <w:color w:val="auto"/>
          <w:sz w:val="36"/>
          <w:szCs w:val="36"/>
        </w:rPr>
        <w:t>各县每年培育新增限</w:t>
      </w:r>
      <w:r>
        <w:rPr>
          <w:rFonts w:ascii="仿宋_GB2312" w:hAnsi="仿宋_GB2312" w:eastAsia="仿宋_GB2312" w:cs="仿宋_GB2312"/>
          <w:color w:val="auto"/>
          <w:sz w:val="36"/>
          <w:szCs w:val="36"/>
        </w:rPr>
        <w:t>额以上</w:t>
      </w:r>
      <w:r>
        <w:rPr>
          <w:rFonts w:hint="eastAsia" w:ascii="仿宋_GB2312" w:hAnsi="仿宋_GB2312" w:eastAsia="仿宋_GB2312" w:cs="仿宋_GB2312"/>
          <w:color w:val="auto"/>
          <w:sz w:val="36"/>
          <w:szCs w:val="36"/>
        </w:rPr>
        <w:t>商贸企业10家以上、规模以上服务业企业6-8家，扩充经济新增长点，增强经济发展韧劲。</w:t>
      </w:r>
    </w:p>
    <w:p>
      <w:pPr>
        <w:keepNext w:val="0"/>
        <w:keepLines w:val="0"/>
        <w:pageBreakBefore w:val="0"/>
        <w:widowControl w:val="0"/>
        <w:kinsoku/>
        <w:wordWrap/>
        <w:overflowPunct/>
        <w:topLinePunct w:val="0"/>
        <w:autoSpaceDE/>
        <w:autoSpaceDN/>
        <w:bidi w:val="0"/>
        <w:snapToGrid/>
        <w:spacing w:line="600" w:lineRule="exact"/>
        <w:ind w:firstLine="723" w:firstLineChars="200"/>
        <w:rPr>
          <w:rFonts w:hint="eastAsia" w:hAnsi="仿宋_GB2312" w:eastAsia="仿宋_GB2312" w:cs="仿宋_GB2312"/>
          <w:color w:val="auto"/>
          <w:sz w:val="36"/>
          <w:szCs w:val="36"/>
        </w:rPr>
      </w:pPr>
      <w:r>
        <w:rPr>
          <w:rFonts w:hint="eastAsia" w:ascii="楷体_GB2312" w:hAnsi="楷体_GB2312" w:eastAsia="楷体_GB2312" w:cs="楷体_GB2312"/>
          <w:b/>
          <w:bCs/>
          <w:color w:val="auto"/>
          <w:kern w:val="0"/>
          <w:sz w:val="36"/>
          <w:szCs w:val="36"/>
        </w:rPr>
        <w:t>（三）引导企业“工贸分离”。</w:t>
      </w:r>
      <w:r>
        <w:rPr>
          <w:rFonts w:hint="eastAsia" w:ascii="仿宋_GB2312" w:hAnsi="仿宋_GB2312" w:eastAsia="仿宋_GB2312" w:cs="仿宋_GB2312"/>
          <w:color w:val="auto"/>
          <w:sz w:val="36"/>
          <w:szCs w:val="36"/>
        </w:rPr>
        <w:t>实施“工贸分离”是实现制造业和现代服务业体量双增长的重要举措。</w:t>
      </w:r>
      <w:r>
        <w:rPr>
          <w:rFonts w:hint="eastAsia" w:ascii="仿宋_GB2312" w:hAnsi="仿宋_GB2312" w:eastAsia="仿宋_GB2312" w:cs="仿宋_GB2312"/>
          <w:b/>
          <w:color w:val="auto"/>
          <w:sz w:val="36"/>
          <w:szCs w:val="36"/>
        </w:rPr>
        <w:t>因地制宜突出重点</w:t>
      </w:r>
      <w:r>
        <w:rPr>
          <w:rFonts w:hint="eastAsia" w:ascii="仿宋_GB2312" w:hAnsi="仿宋_GB2312" w:eastAsia="仿宋_GB2312" w:cs="仿宋_GB2312"/>
          <w:color w:val="auto"/>
          <w:sz w:val="36"/>
          <w:szCs w:val="36"/>
        </w:rPr>
        <w:t>。</w:t>
      </w:r>
      <w:r>
        <w:rPr>
          <w:rFonts w:hint="eastAsia" w:ascii="仿宋_GB2312" w:hAnsi="仿宋_GB2312" w:eastAsia="仿宋_GB2312" w:cs="仿宋_GB2312"/>
          <w:color w:val="auto"/>
          <w:kern w:val="2"/>
          <w:sz w:val="36"/>
          <w:szCs w:val="36"/>
          <w:lang w:val="en-US" w:eastAsia="zh-CN" w:bidi="ar-SA"/>
        </w:rPr>
        <w:t>引导纺织、木材加工、新材料、食品加工、装备制造、建材等行业企业，特别是管理规范、规模较大、内销比例较高或网络销售占比高的企业实施“工贸分离”。对年销售额达亿元以上的制造业企业，特别是列入省市重点上市后备工业企业</w:t>
      </w:r>
      <w:r>
        <w:rPr>
          <w:rFonts w:hint="eastAsia" w:ascii="仿宋_GB2312" w:hAnsi="仿宋_GB2312" w:eastAsia="仿宋_GB2312" w:cs="仿宋_GB2312"/>
          <w:color w:val="auto"/>
          <w:kern w:val="2"/>
          <w:sz w:val="36"/>
          <w:szCs w:val="36"/>
          <w:lang w:val="en-US" w:eastAsia="zh-CN" w:bidi="ar-SA"/>
        </w:rPr>
        <w:t>中适合实施“工贸分离”的企业，进行重点引导推动，树立典型示范。发挥市投资集团、城发集团、交发集团等</w:t>
      </w:r>
      <w:r>
        <w:rPr>
          <w:rFonts w:hint="eastAsia" w:hAnsi="仿宋_GB2312" w:eastAsia="仿宋_GB2312" w:cs="仿宋_GB2312"/>
          <w:color w:val="auto"/>
          <w:kern w:val="2"/>
          <w:sz w:val="36"/>
          <w:szCs w:val="36"/>
          <w:lang w:val="en-US" w:eastAsia="zh-CN" w:bidi="ar-SA"/>
        </w:rPr>
        <w:t>市县两级</w:t>
      </w:r>
      <w:r>
        <w:rPr>
          <w:rFonts w:hint="eastAsia" w:ascii="仿宋_GB2312" w:hAnsi="仿宋_GB2312" w:eastAsia="仿宋_GB2312" w:cs="仿宋_GB2312"/>
          <w:color w:val="auto"/>
          <w:kern w:val="2"/>
          <w:sz w:val="36"/>
          <w:szCs w:val="36"/>
          <w:lang w:val="en-US" w:eastAsia="zh-CN" w:bidi="ar-SA"/>
        </w:rPr>
        <w:t>国有企业的示范引领作用，</w:t>
      </w:r>
      <w:r>
        <w:rPr>
          <w:rFonts w:hint="eastAsia" w:hAnsi="仿宋_GB2312" w:eastAsia="仿宋_GB2312" w:cs="仿宋_GB2312"/>
          <w:color w:val="auto"/>
          <w:sz w:val="36"/>
          <w:szCs w:val="36"/>
          <w:lang w:eastAsia="zh-CN"/>
        </w:rPr>
        <w:t>鼓励</w:t>
      </w:r>
      <w:r>
        <w:rPr>
          <w:rFonts w:hint="eastAsia" w:hAnsi="仿宋_GB2312" w:eastAsia="仿宋_GB2312" w:cs="仿宋_GB2312"/>
          <w:color w:val="auto"/>
          <w:kern w:val="2"/>
          <w:sz w:val="36"/>
          <w:szCs w:val="36"/>
          <w:lang w:val="en-US" w:eastAsia="zh-CN" w:bidi="ar-SA"/>
        </w:rPr>
        <w:t>集团</w:t>
      </w:r>
      <w:r>
        <w:rPr>
          <w:rFonts w:hint="eastAsia" w:ascii="仿宋_GB2312" w:hAnsi="仿宋_GB2312" w:eastAsia="仿宋_GB2312" w:cs="仿宋_GB2312"/>
          <w:color w:val="auto"/>
          <w:kern w:val="2"/>
          <w:sz w:val="36"/>
          <w:szCs w:val="36"/>
          <w:lang w:val="en-US" w:eastAsia="zh-CN" w:bidi="ar-SA"/>
        </w:rPr>
        <w:t>产业活动</w:t>
      </w:r>
      <w:r>
        <w:rPr>
          <w:rFonts w:hint="eastAsia" w:ascii="仿宋_GB2312" w:hAnsi="仿宋_GB2312" w:eastAsia="仿宋_GB2312" w:cs="仿宋_GB2312"/>
          <w:color w:val="auto"/>
          <w:sz w:val="36"/>
          <w:szCs w:val="36"/>
          <w:lang w:eastAsia="zh-CN"/>
        </w:rPr>
        <w:t>成立法人</w:t>
      </w:r>
      <w:r>
        <w:rPr>
          <w:rFonts w:hint="eastAsia" w:hAnsi="仿宋_GB2312" w:eastAsia="仿宋_GB2312" w:cs="仿宋_GB2312"/>
          <w:color w:val="auto"/>
          <w:sz w:val="36"/>
          <w:szCs w:val="36"/>
          <w:lang w:eastAsia="zh-CN"/>
        </w:rPr>
        <w:t>单位</w:t>
      </w:r>
      <w:r>
        <w:rPr>
          <w:rFonts w:hint="eastAsia" w:ascii="仿宋_GB2312" w:hAnsi="仿宋_GB2312" w:eastAsia="仿宋_GB2312" w:cs="仿宋_GB2312"/>
          <w:color w:val="auto"/>
          <w:kern w:val="2"/>
          <w:sz w:val="36"/>
          <w:szCs w:val="36"/>
          <w:lang w:val="en-US" w:eastAsia="zh-CN" w:bidi="ar-SA"/>
        </w:rPr>
        <w:t>，</w:t>
      </w:r>
      <w:r>
        <w:rPr>
          <w:rFonts w:hint="eastAsia" w:hAnsi="仿宋_GB2312" w:eastAsia="仿宋_GB2312" w:cs="仿宋_GB2312"/>
          <w:color w:val="auto"/>
          <w:kern w:val="2"/>
          <w:sz w:val="36"/>
          <w:szCs w:val="36"/>
          <w:lang w:val="en-US" w:eastAsia="zh-CN" w:bidi="ar-SA"/>
        </w:rPr>
        <w:t>并申报入统</w:t>
      </w:r>
      <w:r>
        <w:rPr>
          <w:rFonts w:hint="eastAsia" w:ascii="仿宋_GB2312" w:hAnsi="仿宋_GB2312" w:eastAsia="仿宋_GB2312" w:cs="仿宋_GB2312"/>
          <w:color w:val="auto"/>
          <w:kern w:val="2"/>
          <w:sz w:val="36"/>
          <w:szCs w:val="36"/>
          <w:lang w:val="en-US" w:eastAsia="zh-CN" w:bidi="ar-SA"/>
        </w:rPr>
        <w:t>。</w:t>
      </w:r>
      <w:r>
        <w:rPr>
          <w:rFonts w:hint="eastAsia" w:ascii="仿宋_GB2312" w:hAnsi="仿宋_GB2312" w:eastAsia="仿宋_GB2312" w:cs="仿宋_GB2312"/>
          <w:b/>
          <w:color w:val="auto"/>
          <w:sz w:val="36"/>
          <w:szCs w:val="36"/>
        </w:rPr>
        <w:t>加强引导企业自主</w:t>
      </w:r>
      <w:r>
        <w:rPr>
          <w:rFonts w:hint="eastAsia" w:ascii="仿宋_GB2312" w:hAnsi="仿宋_GB2312" w:eastAsia="仿宋_GB2312" w:cs="仿宋_GB2312"/>
          <w:color w:val="auto"/>
          <w:sz w:val="36"/>
          <w:szCs w:val="36"/>
        </w:rPr>
        <w:t>。企业“工贸分离”政策性强，涉及面广，各地各部门要加强政策引导，调动企业的积极性，引导企业自愿开展工贸分离。</w:t>
      </w:r>
      <w:r>
        <w:rPr>
          <w:rFonts w:hint="eastAsia" w:hAnsi="仿宋_GB2312" w:eastAsia="仿宋_GB2312" w:cs="仿宋_GB2312"/>
          <w:color w:val="auto"/>
          <w:sz w:val="36"/>
          <w:szCs w:val="36"/>
          <w:lang w:eastAsia="zh-CN"/>
        </w:rPr>
        <w:t>各行业主管</w:t>
      </w:r>
      <w:r>
        <w:rPr>
          <w:rFonts w:hint="eastAsia" w:hAnsi="仿宋_GB2312" w:eastAsia="仿宋_GB2312" w:cs="仿宋_GB2312"/>
          <w:color w:val="auto"/>
          <w:sz w:val="36"/>
          <w:szCs w:val="36"/>
        </w:rPr>
        <w:t>部门</w:t>
      </w:r>
      <w:r>
        <w:rPr>
          <w:rFonts w:hint="eastAsia" w:hAnsi="仿宋_GB2312" w:eastAsia="仿宋_GB2312" w:cs="仿宋_GB2312"/>
          <w:color w:val="auto"/>
          <w:sz w:val="36"/>
          <w:szCs w:val="36"/>
          <w:lang w:eastAsia="zh-CN"/>
        </w:rPr>
        <w:t>负责</w:t>
      </w:r>
      <w:r>
        <w:rPr>
          <w:rFonts w:hint="eastAsia" w:hAnsi="仿宋_GB2312" w:eastAsia="仿宋_GB2312" w:cs="仿宋_GB2312"/>
          <w:color w:val="auto"/>
          <w:sz w:val="36"/>
          <w:szCs w:val="36"/>
        </w:rPr>
        <w:t>制定行业“工贸分离”指导政策，</w:t>
      </w:r>
      <w:r>
        <w:rPr>
          <w:rFonts w:hint="eastAsia" w:ascii="仿宋_GB2312" w:hAnsi="仿宋_GB2312" w:eastAsia="仿宋_GB2312" w:cs="仿宋_GB2312"/>
          <w:color w:val="auto"/>
          <w:sz w:val="36"/>
          <w:szCs w:val="36"/>
        </w:rPr>
        <w:t>各县（市、区）负责本辖区制造业企业开展</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工贸分离</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的政策制定、工作落实，研究解决制造业企业</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工贸分离</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产生的企业反映的有关问题，进行合理的财政补助，推动</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工贸分离</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企业的发展。</w:t>
      </w:r>
      <w:r>
        <w:rPr>
          <w:rFonts w:hint="eastAsia" w:ascii="仿宋_GB2312" w:hAnsi="仿宋_GB2312" w:eastAsia="仿宋_GB2312" w:cs="仿宋_GB2312"/>
          <w:b/>
          <w:color w:val="auto"/>
          <w:sz w:val="36"/>
          <w:szCs w:val="36"/>
        </w:rPr>
        <w:t>明确要求落实责任。</w:t>
      </w:r>
      <w:r>
        <w:rPr>
          <w:rFonts w:hint="eastAsia" w:hAnsi="仿宋_GB2312" w:eastAsia="仿宋_GB2312" w:cs="仿宋_GB2312"/>
          <w:color w:val="auto"/>
          <w:sz w:val="36"/>
          <w:szCs w:val="36"/>
          <w:lang w:eastAsia="zh-CN"/>
        </w:rPr>
        <w:t>各</w:t>
      </w:r>
      <w:r>
        <w:rPr>
          <w:rFonts w:hint="eastAsia" w:hAnsi="仿宋_GB2312" w:eastAsia="仿宋_GB2312" w:cs="仿宋_GB2312"/>
          <w:color w:val="auto"/>
          <w:sz w:val="36"/>
          <w:szCs w:val="36"/>
        </w:rPr>
        <w:t>县（市、区）</w:t>
      </w:r>
      <w:r>
        <w:rPr>
          <w:rFonts w:hint="eastAsia" w:hAnsi="仿宋_GB2312" w:eastAsia="仿宋_GB2312" w:cs="仿宋_GB2312"/>
          <w:color w:val="auto"/>
          <w:sz w:val="36"/>
          <w:szCs w:val="36"/>
          <w:lang w:eastAsia="zh-CN"/>
        </w:rPr>
        <w:t>要深入研究本地</w:t>
      </w:r>
      <w:r>
        <w:rPr>
          <w:rFonts w:hint="eastAsia" w:hAnsi="仿宋_GB2312" w:eastAsia="仿宋_GB2312" w:cs="仿宋_GB2312"/>
          <w:color w:val="auto"/>
          <w:sz w:val="36"/>
          <w:szCs w:val="36"/>
        </w:rPr>
        <w:t>产业结构现状</w:t>
      </w:r>
      <w:r>
        <w:rPr>
          <w:rFonts w:hint="eastAsia" w:hAnsi="仿宋_GB2312" w:eastAsia="仿宋_GB2312" w:cs="仿宋_GB2312"/>
          <w:color w:val="auto"/>
          <w:sz w:val="36"/>
          <w:szCs w:val="36"/>
          <w:lang w:eastAsia="zh-CN"/>
        </w:rPr>
        <w:t>，</w:t>
      </w:r>
      <w:r>
        <w:rPr>
          <w:rFonts w:hint="eastAsia" w:hAnsi="仿宋_GB2312" w:eastAsia="仿宋_GB2312" w:cs="仿宋_GB2312"/>
          <w:color w:val="auto"/>
          <w:sz w:val="36"/>
          <w:szCs w:val="36"/>
        </w:rPr>
        <w:t>认真分析可实施分离的企业数量、行业类型、经济规模，</w:t>
      </w:r>
      <w:r>
        <w:rPr>
          <w:rFonts w:hint="eastAsia" w:hAnsi="仿宋_GB2312" w:eastAsia="仿宋_GB2312" w:cs="仿宋_GB2312"/>
          <w:color w:val="auto"/>
          <w:sz w:val="36"/>
          <w:szCs w:val="36"/>
          <w:lang w:eastAsia="zh-CN"/>
        </w:rPr>
        <w:t>按照“先易后难、逐步推进”的原则，每年引导2家以上企业实施“工贸分离”，其中，三元区、沙县区、永安市、尤溪县、大田县、将乐县每年引导企业3－5家。</w:t>
      </w:r>
    </w:p>
    <w:p>
      <w:pPr>
        <w:keepNext w:val="0"/>
        <w:keepLines w:val="0"/>
        <w:pageBreakBefore w:val="0"/>
        <w:kinsoku/>
        <w:wordWrap/>
        <w:overflowPunct/>
        <w:topLinePunct w:val="0"/>
        <w:autoSpaceDE/>
        <w:autoSpaceDN/>
        <w:bidi w:val="0"/>
        <w:spacing w:line="600" w:lineRule="exact"/>
        <w:ind w:firstLine="723" w:firstLineChars="200"/>
        <w:rPr>
          <w:rFonts w:hint="eastAsia"/>
          <w:lang w:val="en-US" w:eastAsia="zh-CN"/>
        </w:rPr>
      </w:pPr>
      <w:r>
        <w:rPr>
          <w:rFonts w:hint="eastAsia" w:ascii="楷体_GB2312" w:hAnsi="楷体_GB2312" w:eastAsia="楷体_GB2312" w:cs="楷体_GB2312"/>
          <w:b/>
          <w:bCs/>
          <w:color w:val="auto"/>
          <w:kern w:val="0"/>
          <w:sz w:val="36"/>
          <w:szCs w:val="36"/>
        </w:rPr>
        <w:t>（四）落实专项扶持政策</w:t>
      </w:r>
      <w:r>
        <w:rPr>
          <w:rFonts w:hint="eastAsia" w:ascii="仿宋_GB2312" w:hAnsi="仿宋_GB2312" w:eastAsia="仿宋_GB2312" w:cs="仿宋_GB2312"/>
          <w:color w:val="auto"/>
          <w:sz w:val="36"/>
          <w:szCs w:val="36"/>
        </w:rPr>
        <w:t>。</w:t>
      </w:r>
      <w:r>
        <w:rPr>
          <w:rFonts w:hint="eastAsia" w:ascii="仿宋_GB2312" w:hAnsi="仿宋_GB2312" w:eastAsia="仿宋_GB2312" w:cs="仿宋_GB2312"/>
          <w:b w:val="0"/>
          <w:color w:val="auto"/>
          <w:kern w:val="2"/>
          <w:sz w:val="36"/>
          <w:szCs w:val="36"/>
          <w:lang w:val="en-US" w:eastAsia="zh-CN" w:bidi="ar-SA"/>
        </w:rPr>
        <w:t>稳定持续的政策扶持是第三产业加快发展的关键。</w:t>
      </w:r>
      <w:r>
        <w:rPr>
          <w:rFonts w:hint="eastAsia" w:ascii="仿宋_GB2312" w:hAnsi="仿宋_GB2312" w:eastAsia="仿宋_GB2312" w:cs="仿宋_GB2312"/>
          <w:b/>
          <w:bCs/>
          <w:color w:val="auto"/>
          <w:sz w:val="36"/>
          <w:szCs w:val="36"/>
          <w:lang w:eastAsia="zh-CN"/>
        </w:rPr>
        <w:t>落实财政专项引导资金。</w:t>
      </w:r>
      <w:r>
        <w:rPr>
          <w:rFonts w:hint="eastAsia" w:ascii="仿宋_GB2312" w:hAnsi="仿宋_GB2312" w:eastAsia="仿宋_GB2312" w:cs="仿宋_GB2312"/>
          <w:b w:val="0"/>
          <w:color w:val="auto"/>
          <w:kern w:val="2"/>
          <w:sz w:val="36"/>
          <w:szCs w:val="36"/>
          <w:lang w:val="en-US" w:eastAsia="zh-CN" w:bidi="ar-SA"/>
        </w:rPr>
        <w:t>加大市、县两级财政对第三产业发展的支持力度，市级第三产业发展专项引导资金由1580万元提高到5000万元，各县（市、区）每年安排1000万元，用于支持第三产业重点领域发展和重点项目建设。</w:t>
      </w:r>
      <w:r>
        <w:rPr>
          <w:rFonts w:hint="eastAsia" w:ascii="仿宋_GB2312" w:hAnsi="仿宋_GB2312" w:eastAsia="仿宋_GB2312" w:cs="仿宋_GB2312"/>
          <w:b/>
          <w:bCs/>
          <w:color w:val="auto"/>
          <w:sz w:val="36"/>
          <w:szCs w:val="36"/>
          <w:lang w:eastAsia="zh-CN"/>
        </w:rPr>
        <w:t>落实“上限上规”企业激励政策</w:t>
      </w:r>
      <w:r>
        <w:rPr>
          <w:rFonts w:hint="eastAsia" w:ascii="仿宋_GB2312" w:hAnsi="仿宋_GB2312" w:eastAsia="仿宋_GB2312" w:cs="仿宋_GB2312"/>
          <w:color w:val="auto"/>
          <w:sz w:val="36"/>
          <w:szCs w:val="36"/>
          <w:shd w:val="clear" w:color="auto" w:fill="FFFFFF"/>
          <w:lang w:eastAsia="zh-CN"/>
        </w:rPr>
        <w:t>。</w:t>
      </w:r>
      <w:r>
        <w:rPr>
          <w:rFonts w:hint="eastAsia" w:ascii="仿宋_GB2312" w:hAnsi="仿宋_GB2312" w:eastAsia="仿宋_GB2312" w:cs="仿宋_GB2312"/>
          <w:b/>
          <w:bCs/>
          <w:color w:val="auto"/>
          <w:sz w:val="36"/>
          <w:szCs w:val="36"/>
          <w:shd w:val="clear" w:color="auto" w:fill="FFFFFF"/>
          <w:lang w:eastAsia="zh-CN"/>
        </w:rPr>
        <w:t>限额以上商贸企业：</w:t>
      </w:r>
      <w:r>
        <w:rPr>
          <w:rFonts w:hint="eastAsia" w:ascii="仿宋_GB2312" w:hAnsi="仿宋_GB2312" w:eastAsia="仿宋_GB2312" w:cs="仿宋_GB2312"/>
          <w:b w:val="0"/>
          <w:color w:val="auto"/>
          <w:kern w:val="2"/>
          <w:sz w:val="36"/>
          <w:szCs w:val="36"/>
          <w:lang w:val="en-US" w:eastAsia="zh-CN" w:bidi="ar-SA"/>
        </w:rPr>
        <w:t>对月度新增纳统的限额以上贸易企业，给予一次性奖励最高不超过</w:t>
      </w:r>
      <w:r>
        <w:rPr>
          <w:rFonts w:hint="default" w:ascii="仿宋_GB2312" w:hAnsi="仿宋_GB2312" w:eastAsia="仿宋_GB2312" w:cs="仿宋_GB2312"/>
          <w:b w:val="0"/>
          <w:color w:val="auto"/>
          <w:kern w:val="2"/>
          <w:sz w:val="36"/>
          <w:szCs w:val="36"/>
          <w:lang w:val="en-US" w:eastAsia="zh-CN" w:bidi="ar-SA"/>
        </w:rPr>
        <w:t>5</w:t>
      </w:r>
      <w:r>
        <w:rPr>
          <w:rFonts w:hint="eastAsia" w:ascii="仿宋_GB2312" w:hAnsi="仿宋_GB2312" w:eastAsia="仿宋_GB2312" w:cs="仿宋_GB2312"/>
          <w:b w:val="0"/>
          <w:color w:val="auto"/>
          <w:kern w:val="2"/>
          <w:sz w:val="36"/>
          <w:szCs w:val="36"/>
          <w:lang w:val="en-US" w:eastAsia="zh-CN" w:bidi="ar-SA"/>
        </w:rPr>
        <w:t>万元；对年度新增企业、个体工商户和限额以下贸易企业转为限额以上企业统计的，给予一次性奖励最高不超过</w:t>
      </w:r>
      <w:r>
        <w:rPr>
          <w:rFonts w:hint="default" w:ascii="仿宋_GB2312" w:hAnsi="仿宋_GB2312" w:eastAsia="仿宋_GB2312" w:cs="仿宋_GB2312"/>
          <w:b w:val="0"/>
          <w:color w:val="auto"/>
          <w:kern w:val="2"/>
          <w:sz w:val="36"/>
          <w:szCs w:val="36"/>
          <w:lang w:val="en-US" w:eastAsia="zh-CN" w:bidi="ar-SA"/>
        </w:rPr>
        <w:t>2</w:t>
      </w:r>
      <w:r>
        <w:rPr>
          <w:rFonts w:hint="eastAsia" w:ascii="仿宋_GB2312" w:hAnsi="仿宋_GB2312" w:eastAsia="仿宋_GB2312" w:cs="仿宋_GB2312"/>
          <w:b w:val="0"/>
          <w:color w:val="auto"/>
          <w:kern w:val="2"/>
          <w:sz w:val="36"/>
          <w:szCs w:val="36"/>
          <w:lang w:val="en-US" w:eastAsia="zh-CN" w:bidi="ar-SA"/>
        </w:rPr>
        <w:t>万元。</w:t>
      </w:r>
      <w:r>
        <w:rPr>
          <w:rFonts w:hint="eastAsia" w:ascii="仿宋_GB2312" w:hAnsi="仿宋_GB2312" w:eastAsia="仿宋_GB2312" w:cs="仿宋_GB2312"/>
          <w:b/>
          <w:bCs/>
          <w:color w:val="auto"/>
          <w:kern w:val="2"/>
          <w:sz w:val="36"/>
          <w:szCs w:val="36"/>
          <w:lang w:val="en-US" w:eastAsia="zh-CN" w:bidi="ar-SA"/>
        </w:rPr>
        <w:t>规模以上服务业企业：</w:t>
      </w:r>
      <w:r>
        <w:rPr>
          <w:rFonts w:hint="eastAsia" w:ascii="仿宋_GB2312" w:hAnsi="仿宋_GB2312" w:eastAsia="仿宋_GB2312" w:cs="仿宋_GB2312"/>
          <w:b w:val="0"/>
          <w:color w:val="auto"/>
          <w:kern w:val="2"/>
          <w:sz w:val="36"/>
          <w:szCs w:val="36"/>
          <w:lang w:val="en-US" w:eastAsia="zh-CN" w:bidi="ar-SA"/>
        </w:rPr>
        <w:t>对当年度新投产纳规、规下转规上的规模以上其他营利性服务业企业，每家给予一次性补助 3 万元；对新落户我市、年度新增货车50辆及以上、营业额1000万元以上的规模以上交通物流企业，以及从规模以下升级规模以上的本地交通物流企业，分别给予一次性奖励50万元。</w:t>
      </w:r>
      <w:r>
        <w:rPr>
          <w:rFonts w:hint="eastAsia" w:ascii="仿宋_GB2312" w:hAnsi="仿宋_GB2312" w:eastAsia="仿宋_GB2312" w:cs="仿宋_GB2312"/>
          <w:b/>
          <w:bCs/>
          <w:color w:val="auto"/>
          <w:kern w:val="2"/>
          <w:sz w:val="36"/>
          <w:szCs w:val="36"/>
          <w:lang w:val="en-US" w:eastAsia="zh-CN" w:bidi="ar-SA"/>
        </w:rPr>
        <w:t>落实“工贸分离”扶持措施。</w:t>
      </w:r>
      <w:r>
        <w:rPr>
          <w:rFonts w:hint="eastAsia" w:ascii="仿宋_GB2312" w:hAnsi="仿宋_GB2312" w:eastAsia="仿宋_GB2312" w:cs="仿宋_GB2312"/>
          <w:b w:val="0"/>
          <w:color w:val="auto"/>
          <w:kern w:val="2"/>
          <w:sz w:val="36"/>
          <w:szCs w:val="36"/>
          <w:lang w:val="en-US" w:eastAsia="zh-CN" w:bidi="ar-SA"/>
        </w:rPr>
        <w:t>对符合条件的工业企业成立独立核算的批发贸易法人企业，纳入限上统计的，当年度限额以上批发业销售额达3亿元、5亿元、8亿元及以上，且增幅高于全市限额以上批发业销售额增幅的，分别给予5万元、10万元、15万元奖励。</w:t>
      </w:r>
    </w:p>
    <w:p>
      <w:pPr>
        <w:keepNext w:val="0"/>
        <w:keepLines w:val="0"/>
        <w:pageBreakBefore w:val="0"/>
        <w:widowControl w:val="0"/>
        <w:kinsoku/>
        <w:wordWrap/>
        <w:overflowPunct/>
        <w:topLinePunct w:val="0"/>
        <w:autoSpaceDE/>
        <w:autoSpaceDN/>
        <w:bidi w:val="0"/>
        <w:snapToGrid/>
        <w:spacing w:line="600" w:lineRule="exact"/>
        <w:ind w:firstLine="720" w:firstLineChars="200"/>
        <w:rPr>
          <w:rFonts w:ascii="黑体" w:hAnsi="黑体" w:eastAsia="黑体"/>
          <w:color w:val="auto"/>
          <w:sz w:val="36"/>
          <w:szCs w:val="36"/>
        </w:rPr>
      </w:pPr>
      <w:r>
        <w:rPr>
          <w:rFonts w:hint="eastAsia" w:ascii="黑体" w:hAnsi="黑体" w:eastAsia="黑体"/>
          <w:color w:val="auto"/>
          <w:sz w:val="36"/>
          <w:szCs w:val="36"/>
        </w:rPr>
        <w:t>四、保障</w:t>
      </w:r>
      <w:r>
        <w:rPr>
          <w:rFonts w:ascii="黑体" w:hAnsi="黑体" w:eastAsia="黑体"/>
          <w:color w:val="auto"/>
          <w:sz w:val="36"/>
          <w:szCs w:val="36"/>
        </w:rPr>
        <w:t>机制</w:t>
      </w:r>
    </w:p>
    <w:p>
      <w:pPr>
        <w:pStyle w:val="2"/>
        <w:keepNext w:val="0"/>
        <w:keepLines w:val="0"/>
        <w:pageBreakBefore w:val="0"/>
        <w:widowControl w:val="0"/>
        <w:kinsoku/>
        <w:wordWrap/>
        <w:overflowPunct/>
        <w:topLinePunct w:val="0"/>
        <w:autoSpaceDE/>
        <w:autoSpaceDN/>
        <w:bidi w:val="0"/>
        <w:snapToGrid/>
        <w:spacing w:line="600" w:lineRule="exact"/>
      </w:pPr>
      <w:r>
        <w:rPr>
          <w:rFonts w:hint="eastAsia" w:ascii="楷体_GB2312" w:hAnsi="楷体_GB2312" w:eastAsia="楷体_GB2312" w:cs="楷体_GB2312"/>
          <w:b/>
          <w:bCs/>
          <w:color w:val="auto"/>
          <w:kern w:val="0"/>
          <w:sz w:val="36"/>
          <w:szCs w:val="36"/>
        </w:rPr>
        <w:t>（一）加强组织领导。</w:t>
      </w:r>
      <w:r>
        <w:rPr>
          <w:rFonts w:hint="eastAsia" w:ascii="仿宋_GB2312" w:hAnsi="仿宋_GB2312" w:eastAsia="仿宋_GB2312" w:cs="仿宋_GB2312"/>
          <w:b/>
          <w:bCs/>
          <w:color w:val="auto"/>
          <w:sz w:val="36"/>
          <w:szCs w:val="36"/>
          <w:shd w:val="clear" w:color="auto" w:fill="FFFFFF"/>
        </w:rPr>
        <w:t>要</w:t>
      </w:r>
      <w:r>
        <w:rPr>
          <w:rFonts w:hint="eastAsia" w:ascii="仿宋_GB2312" w:hAnsi="仿宋_GB2312" w:eastAsia="仿宋_GB2312" w:cs="仿宋_GB2312"/>
          <w:color w:val="auto"/>
          <w:sz w:val="36"/>
          <w:szCs w:val="36"/>
          <w:shd w:val="clear" w:color="auto" w:fill="FFFFFF"/>
          <w:lang w:eastAsia="zh-CN"/>
        </w:rPr>
        <w:t>健全</w:t>
      </w:r>
      <w:r>
        <w:rPr>
          <w:rFonts w:hint="eastAsia" w:hAnsi="仿宋_GB2312" w:eastAsia="仿宋_GB2312" w:cs="仿宋_GB2312"/>
          <w:color w:val="auto"/>
          <w:sz w:val="36"/>
          <w:szCs w:val="36"/>
          <w:shd w:val="clear" w:color="auto" w:fill="FFFFFF"/>
          <w:lang w:eastAsia="zh-CN"/>
        </w:rPr>
        <w:t>机制</w:t>
      </w:r>
      <w:r>
        <w:rPr>
          <w:rFonts w:hint="eastAsia" w:ascii="仿宋_GB2312" w:hAnsi="仿宋_GB2312" w:eastAsia="仿宋_GB2312" w:cs="仿宋_GB2312"/>
          <w:color w:val="auto"/>
          <w:sz w:val="36"/>
          <w:szCs w:val="36"/>
          <w:shd w:val="clear" w:color="auto" w:fill="FFFFFF"/>
          <w:lang w:eastAsia="zh-CN"/>
        </w:rPr>
        <w:t>、</w:t>
      </w:r>
      <w:r>
        <w:rPr>
          <w:rFonts w:hint="eastAsia" w:hAnsi="仿宋_GB2312" w:eastAsia="仿宋_GB2312" w:cs="仿宋_GB2312"/>
          <w:color w:val="auto"/>
          <w:sz w:val="36"/>
          <w:szCs w:val="36"/>
          <w:shd w:val="clear" w:color="auto" w:fill="FFFFFF"/>
          <w:lang w:eastAsia="zh-CN"/>
        </w:rPr>
        <w:t>强化</w:t>
      </w:r>
      <w:r>
        <w:rPr>
          <w:rFonts w:hint="eastAsia" w:ascii="仿宋_GB2312" w:hAnsi="仿宋_GB2312" w:eastAsia="仿宋_GB2312" w:cs="仿宋_GB2312"/>
          <w:color w:val="auto"/>
          <w:sz w:val="36"/>
          <w:szCs w:val="36"/>
          <w:shd w:val="clear" w:color="auto" w:fill="FFFFFF"/>
          <w:lang w:eastAsia="zh-CN"/>
        </w:rPr>
        <w:t>推进。</w:t>
      </w:r>
      <w:r>
        <w:rPr>
          <w:rFonts w:hint="eastAsia" w:ascii="仿宋_GB2312" w:hAnsi="仿宋_GB2312" w:eastAsia="仿宋_GB2312" w:cs="仿宋_GB2312"/>
          <w:color w:val="auto"/>
          <w:sz w:val="36"/>
          <w:szCs w:val="36"/>
          <w:shd w:val="clear" w:color="auto" w:fill="FFFFFF"/>
        </w:rPr>
        <w:t>调整充实全市第三产业领导小组，统筹推进行动计划的组织实施，及时协调解决第三产业发展中遇到的重点难点问题。</w:t>
      </w:r>
      <w:r>
        <w:rPr>
          <w:rFonts w:hint="eastAsia" w:ascii="仿宋_GB2312" w:hAnsi="仿宋_GB2312" w:eastAsia="仿宋_GB2312" w:cs="仿宋_GB2312"/>
          <w:b/>
          <w:bCs/>
          <w:color w:val="auto"/>
          <w:sz w:val="36"/>
          <w:szCs w:val="36"/>
          <w:shd w:val="clear" w:color="auto" w:fill="FFFFFF"/>
        </w:rPr>
        <w:t>要</w:t>
      </w:r>
      <w:r>
        <w:rPr>
          <w:rFonts w:hint="eastAsia" w:ascii="宋体" w:hAnsi="宋体" w:eastAsia="仿宋_GB2312"/>
          <w:color w:val="auto"/>
          <w:sz w:val="36"/>
          <w:szCs w:val="36"/>
        </w:rPr>
        <w:t>提高站位、</w:t>
      </w:r>
      <w:r>
        <w:rPr>
          <w:rFonts w:hint="eastAsia" w:ascii="仿宋_GB2312" w:hAnsi="仿宋_GB2312" w:eastAsia="仿宋_GB2312" w:cs="仿宋_GB2312"/>
          <w:color w:val="auto"/>
          <w:sz w:val="36"/>
          <w:szCs w:val="36"/>
          <w:shd w:val="clear" w:color="auto" w:fill="FFFFFF"/>
        </w:rPr>
        <w:t>主动作为</w:t>
      </w:r>
      <w:r>
        <w:rPr>
          <w:rFonts w:hint="eastAsia" w:hAnsi="仿宋_GB2312" w:eastAsia="仿宋_GB2312" w:cs="仿宋_GB2312"/>
          <w:color w:val="auto"/>
          <w:sz w:val="36"/>
          <w:szCs w:val="36"/>
          <w:shd w:val="clear" w:color="auto" w:fill="FFFFFF"/>
          <w:lang w:eastAsia="zh-CN"/>
        </w:rPr>
        <w:t>。</w:t>
      </w:r>
      <w:r>
        <w:rPr>
          <w:rFonts w:hint="eastAsia" w:ascii="宋体" w:hAnsi="宋体" w:eastAsia="仿宋_GB2312"/>
          <w:color w:val="auto"/>
          <w:sz w:val="36"/>
          <w:szCs w:val="36"/>
        </w:rPr>
        <w:t>各行业主管部门</w:t>
      </w:r>
      <w:r>
        <w:rPr>
          <w:rFonts w:hint="eastAsia" w:ascii="仿宋_GB2312" w:hAnsi="仿宋_GB2312" w:eastAsia="仿宋_GB2312" w:cs="仿宋_GB2312"/>
          <w:color w:val="auto"/>
          <w:sz w:val="36"/>
          <w:szCs w:val="36"/>
          <w:shd w:val="clear" w:color="auto" w:fill="FFFFFF"/>
        </w:rPr>
        <w:t>认真对标对表责任分工和各行业具体目标任务，成立工作专班，安排专人推动主要支撑指标增长目标</w:t>
      </w:r>
      <w:bookmarkStart w:id="0" w:name="_GoBack"/>
      <w:bookmarkEnd w:id="0"/>
      <w:r>
        <w:rPr>
          <w:rFonts w:hint="eastAsia" w:ascii="仿宋_GB2312" w:hAnsi="仿宋_GB2312" w:eastAsia="仿宋_GB2312" w:cs="仿宋_GB2312"/>
          <w:color w:val="auto"/>
          <w:sz w:val="36"/>
          <w:szCs w:val="36"/>
          <w:shd w:val="clear" w:color="auto" w:fill="FFFFFF"/>
        </w:rPr>
        <w:t>的落实。</w:t>
      </w:r>
      <w:r>
        <w:rPr>
          <w:rFonts w:hint="eastAsia" w:ascii="仿宋_GB2312" w:hAnsi="仿宋_GB2312" w:eastAsia="仿宋_GB2312" w:cs="仿宋_GB2312"/>
          <w:b/>
          <w:bCs/>
          <w:color w:val="auto"/>
          <w:sz w:val="36"/>
          <w:szCs w:val="36"/>
          <w:shd w:val="clear" w:color="auto" w:fill="FFFFFF"/>
        </w:rPr>
        <w:t>要</w:t>
      </w:r>
      <w:r>
        <w:rPr>
          <w:rFonts w:hint="eastAsia" w:ascii="仿宋_GB2312" w:hAnsi="仿宋_GB2312" w:eastAsia="仿宋_GB2312" w:cs="仿宋_GB2312"/>
          <w:color w:val="auto"/>
          <w:sz w:val="36"/>
          <w:szCs w:val="36"/>
        </w:rPr>
        <w:t>上下联动、形成合力</w:t>
      </w:r>
      <w:r>
        <w:rPr>
          <w:rFonts w:hint="eastAsia"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建立健全市县两级第三产业发展联席会议制度，</w:t>
      </w:r>
      <w:r>
        <w:rPr>
          <w:rFonts w:hint="eastAsia" w:ascii="仿宋_GB2312" w:hAnsi="仿宋_GB2312" w:eastAsia="仿宋_GB2312" w:cs="仿宋_GB2312"/>
          <w:color w:val="auto"/>
          <w:sz w:val="36"/>
          <w:szCs w:val="36"/>
          <w:shd w:val="clear" w:color="auto" w:fill="FFFFFF"/>
        </w:rPr>
        <w:t>各县（市、区）参照市级领导小组，成立相应的组织领导机构，形成常态化工作推进机制，</w:t>
      </w:r>
      <w:r>
        <w:rPr>
          <w:rFonts w:hint="eastAsia" w:ascii="仿宋_GB2312" w:hAnsi="仿宋_GB2312" w:eastAsia="仿宋_GB2312" w:cs="仿宋_GB2312"/>
          <w:color w:val="auto"/>
          <w:sz w:val="36"/>
          <w:szCs w:val="36"/>
        </w:rPr>
        <w:t>推动各地目标任务全面完成</w:t>
      </w:r>
      <w:r>
        <w:rPr>
          <w:rFonts w:hint="eastAsia" w:ascii="仿宋_GB2312" w:hAnsi="仿宋_GB2312" w:eastAsia="仿宋_GB2312" w:cs="仿宋_GB2312"/>
          <w:color w:val="auto"/>
          <w:sz w:val="36"/>
          <w:szCs w:val="36"/>
          <w:shd w:val="clear" w:color="auto" w:fill="FFFFFF"/>
        </w:rPr>
        <w:t>。</w:t>
      </w:r>
    </w:p>
    <w:p>
      <w:pPr>
        <w:keepNext w:val="0"/>
        <w:keepLines w:val="0"/>
        <w:pageBreakBefore w:val="0"/>
        <w:widowControl w:val="0"/>
        <w:kinsoku/>
        <w:wordWrap/>
        <w:overflowPunct/>
        <w:topLinePunct w:val="0"/>
        <w:autoSpaceDE/>
        <w:autoSpaceDN/>
        <w:bidi w:val="0"/>
        <w:snapToGrid/>
        <w:spacing w:line="600" w:lineRule="exact"/>
        <w:ind w:firstLine="723" w:firstLineChars="200"/>
        <w:textAlignment w:val="baseline"/>
        <w:rPr>
          <w:rFonts w:ascii="仿宋_GB2312" w:hAnsi="仿宋_GB2312" w:eastAsia="仿宋_GB2312" w:cs="仿宋_GB2312"/>
          <w:color w:val="auto"/>
          <w:sz w:val="36"/>
          <w:szCs w:val="36"/>
          <w:shd w:val="clear" w:color="auto" w:fill="FFFFFF"/>
        </w:rPr>
      </w:pPr>
      <w:r>
        <w:rPr>
          <w:rFonts w:hint="eastAsia" w:ascii="楷体_GB2312" w:hAnsi="楷体_GB2312" w:eastAsia="楷体_GB2312" w:cs="楷体_GB2312"/>
          <w:b/>
          <w:bCs/>
          <w:color w:val="auto"/>
          <w:kern w:val="0"/>
          <w:sz w:val="36"/>
          <w:szCs w:val="36"/>
        </w:rPr>
        <w:t>（二）加强分析研判。</w:t>
      </w:r>
      <w:r>
        <w:rPr>
          <w:rFonts w:hint="eastAsia" w:ascii="仿宋_GB2312" w:hAnsi="仿宋_GB2312" w:eastAsia="仿宋_GB2312" w:cs="仿宋_GB2312"/>
          <w:b/>
          <w:bCs/>
          <w:color w:val="auto"/>
          <w:sz w:val="36"/>
          <w:szCs w:val="36"/>
          <w:shd w:val="clear" w:color="auto" w:fill="FFFFFF"/>
        </w:rPr>
        <w:t>要</w:t>
      </w:r>
      <w:r>
        <w:rPr>
          <w:rFonts w:hint="eastAsia" w:ascii="仿宋_GB2312" w:hAnsi="仿宋_GB2312" w:eastAsia="仿宋_GB2312" w:cs="仿宋_GB2312"/>
          <w:color w:val="auto"/>
          <w:sz w:val="36"/>
          <w:szCs w:val="36"/>
          <w:shd w:val="clear" w:color="auto" w:fill="FFFFFF"/>
        </w:rPr>
        <w:t>增强市县两级第三产业统计力量，强化统计基础和信息化建设，建立健全数据质量评估机制，加强全市对第三产业的运行监测和分析研判。</w:t>
      </w:r>
      <w:r>
        <w:rPr>
          <w:rFonts w:hint="eastAsia" w:ascii="仿宋_GB2312" w:hAnsi="仿宋_GB2312" w:eastAsia="仿宋_GB2312" w:cs="仿宋_GB2312"/>
          <w:b/>
          <w:bCs/>
          <w:color w:val="auto"/>
          <w:sz w:val="36"/>
          <w:szCs w:val="36"/>
          <w:shd w:val="clear" w:color="auto" w:fill="FFFFFF"/>
        </w:rPr>
        <w:t>要</w:t>
      </w:r>
      <w:r>
        <w:rPr>
          <w:rFonts w:hint="eastAsia" w:ascii="宋体" w:hAnsi="宋体" w:eastAsia="仿宋_GB2312"/>
          <w:color w:val="auto"/>
          <w:sz w:val="36"/>
          <w:szCs w:val="36"/>
        </w:rPr>
        <w:t>强化</w:t>
      </w:r>
      <w:r>
        <w:rPr>
          <w:rFonts w:hint="eastAsia" w:ascii="仿宋_GB2312" w:hAnsi="仿宋_GB2312" w:eastAsia="仿宋_GB2312" w:cs="仿宋_GB2312"/>
          <w:color w:val="auto"/>
          <w:sz w:val="36"/>
          <w:szCs w:val="36"/>
          <w:shd w:val="clear" w:color="auto" w:fill="FFFFFF"/>
        </w:rPr>
        <w:t>重点行业、重点企业的统计分析预测，</w:t>
      </w:r>
      <w:r>
        <w:rPr>
          <w:rFonts w:hint="eastAsia" w:ascii="宋体" w:hAnsi="宋体" w:eastAsia="仿宋_GB2312"/>
          <w:color w:val="auto"/>
          <w:sz w:val="36"/>
          <w:szCs w:val="36"/>
        </w:rPr>
        <w:t>各行业主管部门积极与统计、市场监管、税务等部门配合协作，</w:t>
      </w:r>
      <w:r>
        <w:rPr>
          <w:rFonts w:hint="eastAsia" w:ascii="仿宋_GB2312" w:hAnsi="仿宋_GB2312" w:eastAsia="仿宋_GB2312" w:cs="仿宋_GB2312"/>
          <w:color w:val="auto"/>
          <w:sz w:val="36"/>
          <w:szCs w:val="36"/>
          <w:shd w:val="clear" w:color="auto" w:fill="FFFFFF"/>
        </w:rPr>
        <w:t>促进全市第三产业统计数据共享交互。</w:t>
      </w:r>
      <w:r>
        <w:rPr>
          <w:rFonts w:hint="eastAsia" w:ascii="仿宋_GB2312" w:hAnsi="仿宋_GB2312" w:eastAsia="仿宋_GB2312" w:cs="仿宋_GB2312"/>
          <w:b/>
          <w:bCs/>
          <w:color w:val="auto"/>
          <w:sz w:val="36"/>
          <w:szCs w:val="36"/>
          <w:shd w:val="clear" w:color="auto" w:fill="FFFFFF"/>
        </w:rPr>
        <w:t>要</w:t>
      </w:r>
      <w:r>
        <w:rPr>
          <w:rFonts w:hint="eastAsia" w:ascii="仿宋_GB2312" w:hAnsi="仿宋_GB2312" w:eastAsia="仿宋_GB2312" w:cs="仿宋_GB2312"/>
          <w:color w:val="auto"/>
          <w:sz w:val="36"/>
          <w:szCs w:val="36"/>
          <w:shd w:val="clear" w:color="auto" w:fill="FFFFFF"/>
        </w:rPr>
        <w:t>科学评价第三产业发展情况及其对全市经济的贡献度，根据我市经济发展实际情况，完善动态调整机制，按照“跳起来摸高”的工作要求，及时对行动计划设定的目标任务和重点方向做出优化调整，确保行动计划顺利实施。</w:t>
      </w:r>
    </w:p>
    <w:p>
      <w:pPr>
        <w:keepNext w:val="0"/>
        <w:keepLines w:val="0"/>
        <w:pageBreakBefore w:val="0"/>
        <w:widowControl w:val="0"/>
        <w:kinsoku/>
        <w:wordWrap/>
        <w:overflowPunct/>
        <w:topLinePunct w:val="0"/>
        <w:autoSpaceDE/>
        <w:autoSpaceDN/>
        <w:bidi w:val="0"/>
        <w:snapToGrid/>
        <w:spacing w:line="600" w:lineRule="exact"/>
        <w:ind w:firstLine="723" w:firstLineChars="200"/>
        <w:textAlignment w:val="baseline"/>
        <w:rPr>
          <w:rFonts w:hint="eastAsia" w:ascii="仿宋_GB2312" w:hAnsi="仿宋_GB2312" w:eastAsia="仿宋_GB2312" w:cs="仿宋_GB2312"/>
          <w:color w:val="auto"/>
          <w:sz w:val="36"/>
          <w:szCs w:val="36"/>
          <w:shd w:val="clear" w:color="auto" w:fill="FFFFFF"/>
        </w:rPr>
      </w:pPr>
      <w:r>
        <w:rPr>
          <w:rFonts w:hint="eastAsia" w:ascii="楷体_GB2312" w:hAnsi="楷体_GB2312" w:eastAsia="楷体_GB2312" w:cs="楷体_GB2312"/>
          <w:b/>
          <w:bCs/>
          <w:color w:val="auto"/>
          <w:kern w:val="0"/>
          <w:sz w:val="36"/>
          <w:szCs w:val="36"/>
        </w:rPr>
        <w:t>（三）强化要素支撑。</w:t>
      </w:r>
      <w:r>
        <w:rPr>
          <w:rFonts w:hint="eastAsia" w:ascii="仿宋_GB2312" w:hAnsi="仿宋_GB2312" w:eastAsia="仿宋_GB2312" w:cs="仿宋_GB2312"/>
          <w:b/>
          <w:bCs/>
          <w:color w:val="auto"/>
          <w:sz w:val="36"/>
          <w:szCs w:val="36"/>
          <w:shd w:val="clear" w:color="auto" w:fill="FFFFFF"/>
        </w:rPr>
        <w:t>要</w:t>
      </w:r>
      <w:r>
        <w:rPr>
          <w:rFonts w:hint="eastAsia" w:ascii="仿宋_GB2312" w:hAnsi="仿宋_GB2312" w:eastAsia="仿宋_GB2312" w:cs="仿宋_GB2312"/>
          <w:color w:val="auto"/>
          <w:sz w:val="36"/>
          <w:szCs w:val="36"/>
          <w:shd w:val="clear" w:color="auto" w:fill="FFFFFF"/>
        </w:rPr>
        <w:t>在</w:t>
      </w:r>
      <w:r>
        <w:rPr>
          <w:rFonts w:hint="eastAsia" w:ascii="仿宋_GB2312" w:hAnsi="仿宋_GB2312" w:eastAsia="仿宋_GB2312" w:cs="仿宋_GB2312"/>
          <w:color w:val="auto"/>
          <w:sz w:val="36"/>
          <w:szCs w:val="36"/>
          <w:shd w:val="clear" w:color="auto" w:fill="FFFFFF"/>
          <w:lang w:eastAsia="zh-CN"/>
        </w:rPr>
        <w:t>市县两级</w:t>
      </w:r>
      <w:r>
        <w:rPr>
          <w:rFonts w:hint="eastAsia" w:ascii="仿宋_GB2312" w:hAnsi="仿宋_GB2312" w:eastAsia="仿宋_GB2312" w:cs="仿宋_GB2312"/>
          <w:color w:val="auto"/>
          <w:sz w:val="36"/>
          <w:szCs w:val="36"/>
          <w:shd w:val="clear" w:color="auto" w:fill="FFFFFF"/>
        </w:rPr>
        <w:t>城市规划和土地利用总体规划</w:t>
      </w:r>
      <w:r>
        <w:rPr>
          <w:rFonts w:hint="eastAsia" w:ascii="仿宋_GB2312" w:hAnsi="仿宋_GB2312" w:eastAsia="仿宋_GB2312" w:cs="仿宋_GB2312"/>
          <w:color w:val="auto"/>
          <w:sz w:val="36"/>
          <w:szCs w:val="36"/>
          <w:shd w:val="clear" w:color="auto" w:fill="FFFFFF"/>
          <w:lang w:eastAsia="zh-CN"/>
        </w:rPr>
        <w:t>中，预留</w:t>
      </w:r>
      <w:r>
        <w:rPr>
          <w:rFonts w:hint="eastAsia" w:ascii="仿宋_GB2312" w:hAnsi="仿宋_GB2312" w:eastAsia="仿宋_GB2312" w:cs="仿宋_GB2312"/>
          <w:color w:val="auto"/>
          <w:sz w:val="36"/>
          <w:szCs w:val="36"/>
          <w:shd w:val="clear" w:color="auto" w:fill="FFFFFF"/>
        </w:rPr>
        <w:t>第三产业</w:t>
      </w:r>
      <w:r>
        <w:rPr>
          <w:rFonts w:hint="eastAsia" w:ascii="仿宋_GB2312" w:hAnsi="仿宋_GB2312" w:eastAsia="仿宋_GB2312" w:cs="仿宋_GB2312"/>
          <w:color w:val="auto"/>
          <w:sz w:val="36"/>
          <w:szCs w:val="36"/>
          <w:shd w:val="clear" w:color="auto" w:fill="FFFFFF"/>
          <w:lang w:eastAsia="zh-CN"/>
        </w:rPr>
        <w:t>发展</w:t>
      </w:r>
      <w:r>
        <w:rPr>
          <w:rFonts w:hint="eastAsia" w:ascii="仿宋_GB2312" w:hAnsi="仿宋_GB2312" w:eastAsia="仿宋_GB2312" w:cs="仿宋_GB2312"/>
          <w:color w:val="auto"/>
          <w:sz w:val="36"/>
          <w:szCs w:val="36"/>
          <w:shd w:val="clear" w:color="auto" w:fill="FFFFFF"/>
        </w:rPr>
        <w:t>用地</w:t>
      </w:r>
      <w:r>
        <w:rPr>
          <w:rFonts w:hint="eastAsia" w:ascii="仿宋_GB2312" w:hAnsi="仿宋_GB2312" w:eastAsia="仿宋_GB2312" w:cs="仿宋_GB2312"/>
          <w:color w:val="auto"/>
          <w:sz w:val="36"/>
          <w:szCs w:val="36"/>
          <w:shd w:val="clear" w:color="auto" w:fill="FFFFFF"/>
          <w:lang w:eastAsia="zh-CN"/>
        </w:rPr>
        <w:t>，保障合理用地需求</w:t>
      </w:r>
      <w:r>
        <w:rPr>
          <w:rFonts w:hint="eastAsia" w:ascii="仿宋_GB2312" w:hAnsi="仿宋_GB2312" w:eastAsia="仿宋_GB2312" w:cs="仿宋_GB2312"/>
          <w:color w:val="auto"/>
          <w:sz w:val="36"/>
          <w:szCs w:val="36"/>
          <w:shd w:val="clear" w:color="auto" w:fill="FFFFFF"/>
        </w:rPr>
        <w:t>。</w:t>
      </w:r>
      <w:r>
        <w:rPr>
          <w:rFonts w:hint="eastAsia" w:ascii="仿宋_GB2312" w:hAnsi="仿宋_GB2312" w:eastAsia="仿宋_GB2312" w:cs="仿宋_GB2312"/>
          <w:b/>
          <w:bCs/>
          <w:color w:val="auto"/>
          <w:sz w:val="36"/>
          <w:szCs w:val="36"/>
          <w:shd w:val="clear" w:color="auto" w:fill="FFFFFF"/>
        </w:rPr>
        <w:t>要</w:t>
      </w:r>
      <w:r>
        <w:rPr>
          <w:rFonts w:hint="eastAsia" w:ascii="仿宋_GB2312" w:hAnsi="仿宋_GB2312" w:eastAsia="仿宋_GB2312" w:cs="仿宋_GB2312"/>
          <w:color w:val="auto"/>
          <w:sz w:val="36"/>
          <w:szCs w:val="36"/>
          <w:shd w:val="clear" w:color="auto" w:fill="FFFFFF"/>
        </w:rPr>
        <w:t>引导市内高等院校和中等职业学校建立与我市第三产业发展相适应的专业实训基地，加快培养引进第三产业紧缺人才，对重点引进的金融、电子商务、科技研发、软件信息等专业人才，给予住房、子女就学等方面政策支持。</w:t>
      </w:r>
      <w:r>
        <w:rPr>
          <w:rFonts w:hint="eastAsia" w:ascii="仿宋_GB2312" w:hAnsi="仿宋_GB2312" w:eastAsia="仿宋_GB2312" w:cs="仿宋_GB2312"/>
          <w:b/>
          <w:bCs/>
          <w:color w:val="auto"/>
          <w:sz w:val="36"/>
          <w:szCs w:val="36"/>
          <w:shd w:val="clear" w:color="auto" w:fill="FFFFFF"/>
          <w:lang w:eastAsia="zh-CN"/>
        </w:rPr>
        <w:t>要</w:t>
      </w:r>
      <w:r>
        <w:rPr>
          <w:rFonts w:hint="eastAsia" w:ascii="仿宋_GB2312" w:hAnsi="仿宋_GB2312" w:eastAsia="仿宋_GB2312" w:cs="仿宋_GB2312"/>
          <w:color w:val="auto"/>
          <w:sz w:val="36"/>
          <w:szCs w:val="36"/>
          <w:shd w:val="clear" w:color="auto" w:fill="FFFFFF"/>
        </w:rPr>
        <w:t>加强企业的要素保障力度，优先保障企业用工需求，加大力度为企业提供现代企业管理、经营管理者素质提升、政策法规等各类培训服务。</w:t>
      </w:r>
    </w:p>
    <w:p>
      <w:pPr>
        <w:keepNext w:val="0"/>
        <w:keepLines w:val="0"/>
        <w:pageBreakBefore w:val="0"/>
        <w:widowControl w:val="0"/>
        <w:kinsoku/>
        <w:wordWrap/>
        <w:overflowPunct/>
        <w:topLinePunct w:val="0"/>
        <w:autoSpaceDE/>
        <w:autoSpaceDN/>
        <w:bidi w:val="0"/>
        <w:snapToGrid/>
        <w:spacing w:line="600" w:lineRule="exact"/>
        <w:ind w:firstLine="723" w:firstLineChars="200"/>
        <w:rPr>
          <w:rFonts w:hAnsi="仿宋_GB2312" w:eastAsia="仿宋_GB2312" w:cs="仿宋_GB2312"/>
          <w:color w:val="auto"/>
          <w:sz w:val="36"/>
          <w:szCs w:val="36"/>
          <w:shd w:val="clear" w:color="auto" w:fill="FFFFFF"/>
        </w:rPr>
      </w:pPr>
      <w:r>
        <w:rPr>
          <w:rFonts w:hint="eastAsia" w:ascii="楷体_GB2312" w:hAnsi="楷体_GB2312" w:eastAsia="楷体_GB2312" w:cs="楷体_GB2312"/>
          <w:b/>
          <w:bCs/>
          <w:color w:val="auto"/>
          <w:kern w:val="0"/>
          <w:sz w:val="36"/>
          <w:szCs w:val="36"/>
        </w:rPr>
        <w:t>（四）强化督促检查。</w:t>
      </w:r>
      <w:r>
        <w:rPr>
          <w:rFonts w:hint="eastAsia" w:ascii="仿宋_GB2312" w:hAnsi="仿宋_GB2312" w:eastAsia="仿宋_GB2312" w:cs="仿宋_GB2312"/>
          <w:b/>
          <w:bCs/>
          <w:color w:val="auto"/>
          <w:sz w:val="36"/>
          <w:szCs w:val="36"/>
          <w:shd w:val="clear" w:color="auto" w:fill="FFFFFF"/>
        </w:rPr>
        <w:t>要</w:t>
      </w:r>
      <w:r>
        <w:rPr>
          <w:rFonts w:hint="eastAsia" w:hAnsi="仿宋_GB2312" w:eastAsia="仿宋_GB2312" w:cs="仿宋_GB2312"/>
          <w:color w:val="auto"/>
          <w:sz w:val="36"/>
          <w:szCs w:val="36"/>
          <w:shd w:val="clear" w:color="auto" w:fill="FFFFFF"/>
        </w:rPr>
        <w:t>建立第三产业指标和重点任务定期报告和督查通报制度，每个月的20日前，各行业主管部门、各县（市、区）要向领导小组办公室分别报送上个月的行业指标和重点任务完成情况。每季度报领导小组和市政府督查室进行督查，每半年向市委市政府报告。</w:t>
      </w:r>
      <w:r>
        <w:rPr>
          <w:rFonts w:hint="eastAsia" w:hAnsi="仿宋_GB2312" w:eastAsia="仿宋_GB2312" w:cs="仿宋_GB2312"/>
          <w:b/>
          <w:bCs/>
          <w:color w:val="auto"/>
          <w:sz w:val="36"/>
          <w:szCs w:val="36"/>
          <w:shd w:val="clear" w:color="auto" w:fill="FFFFFF"/>
        </w:rPr>
        <w:t>要</w:t>
      </w:r>
      <w:r>
        <w:rPr>
          <w:rFonts w:hint="eastAsia" w:ascii="仿宋_GB2312" w:hAnsi="仿宋_GB2312" w:eastAsia="仿宋_GB2312" w:cs="仿宋_GB2312"/>
          <w:color w:val="auto"/>
          <w:sz w:val="36"/>
          <w:szCs w:val="36"/>
          <w:shd w:val="clear" w:color="auto" w:fill="FFFFFF"/>
        </w:rPr>
        <w:t>大力宣传推广我市抓第三产业的好经验、好做法，努力营造全社会推动产业发展的良好氛围。</w:t>
      </w:r>
      <w:r>
        <w:rPr>
          <w:rFonts w:hint="eastAsia" w:hAnsi="仿宋_GB2312" w:eastAsia="仿宋_GB2312" w:cs="仿宋_GB2312"/>
          <w:color w:val="auto"/>
          <w:sz w:val="36"/>
          <w:szCs w:val="36"/>
          <w:shd w:val="clear" w:color="auto" w:fill="FFFFFF"/>
        </w:rPr>
        <w:t>各地各部门推动第三产业发展工作情况，纳入全市“五比五晒”考评。</w:t>
      </w:r>
    </w:p>
    <w:p>
      <w:pPr>
        <w:pStyle w:val="2"/>
        <w:keepNext w:val="0"/>
        <w:keepLines w:val="0"/>
        <w:pageBreakBefore w:val="0"/>
        <w:kinsoku/>
        <w:wordWrap/>
        <w:overflowPunct/>
        <w:topLinePunct w:val="0"/>
        <w:autoSpaceDE/>
        <w:autoSpaceDN/>
        <w:bidi w:val="0"/>
        <w:spacing w:line="600" w:lineRule="exact"/>
        <w:rPr>
          <w:color w:val="auto"/>
        </w:rPr>
      </w:pPr>
    </w:p>
    <w:p>
      <w:pPr>
        <w:pStyle w:val="6"/>
        <w:keepNext w:val="0"/>
        <w:keepLines w:val="0"/>
        <w:pageBreakBefore w:val="0"/>
        <w:kinsoku/>
        <w:wordWrap/>
        <w:overflowPunct/>
        <w:topLinePunct w:val="0"/>
        <w:autoSpaceDE/>
        <w:autoSpaceDN/>
        <w:bidi w:val="0"/>
        <w:spacing w:before="0" w:beforeAutospacing="0" w:after="0" w:afterAutospacing="0" w:line="600" w:lineRule="exact"/>
        <w:ind w:left="2158" w:leftChars="342" w:hanging="1440" w:hangingChars="400"/>
        <w:jc w:val="both"/>
        <w:rPr>
          <w:rFonts w:hint="default" w:ascii="仿宋_GB2312" w:hAnsi="仿宋_GB2312" w:eastAsia="仿宋_GB2312" w:cs="仿宋_GB2312"/>
          <w:b w:val="0"/>
          <w:color w:val="auto"/>
          <w:kern w:val="2"/>
          <w:sz w:val="36"/>
          <w:szCs w:val="36"/>
        </w:rPr>
      </w:pPr>
      <w:r>
        <w:rPr>
          <w:rFonts w:ascii="仿宋_GB2312" w:hAnsi="仿宋_GB2312" w:eastAsia="仿宋_GB2312" w:cs="仿宋_GB2312"/>
          <w:b w:val="0"/>
          <w:color w:val="auto"/>
          <w:kern w:val="2"/>
          <w:sz w:val="36"/>
          <w:szCs w:val="36"/>
        </w:rPr>
        <w:t>附件：1.第三产业分行业增加值年均增长目标任务</w:t>
      </w:r>
    </w:p>
    <w:p>
      <w:pPr>
        <w:pStyle w:val="6"/>
        <w:keepNext w:val="0"/>
        <w:keepLines w:val="0"/>
        <w:pageBreakBefore w:val="0"/>
        <w:kinsoku/>
        <w:wordWrap/>
        <w:overflowPunct/>
        <w:topLinePunct w:val="0"/>
        <w:autoSpaceDE/>
        <w:autoSpaceDN/>
        <w:bidi w:val="0"/>
        <w:spacing w:before="0" w:beforeAutospacing="0" w:after="0" w:afterAutospacing="0" w:line="600" w:lineRule="exact"/>
        <w:ind w:left="2155" w:leftChars="855" w:hanging="360" w:hangingChars="100"/>
        <w:jc w:val="both"/>
        <w:rPr>
          <w:rFonts w:hint="default" w:ascii="仿宋_GB2312" w:hAnsi="仿宋_GB2312" w:eastAsia="仿宋_GB2312" w:cs="仿宋_GB2312"/>
          <w:b w:val="0"/>
          <w:color w:val="auto"/>
          <w:kern w:val="2"/>
          <w:sz w:val="36"/>
          <w:szCs w:val="36"/>
        </w:rPr>
      </w:pPr>
      <w:r>
        <w:rPr>
          <w:rFonts w:ascii="仿宋_GB2312" w:hAnsi="仿宋_GB2312" w:eastAsia="仿宋_GB2312" w:cs="仿宋_GB2312"/>
          <w:b w:val="0"/>
          <w:color w:val="auto"/>
          <w:kern w:val="2"/>
          <w:sz w:val="36"/>
          <w:szCs w:val="36"/>
        </w:rPr>
        <w:t>一览表</w:t>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1800" w:firstLineChars="500"/>
        <w:rPr>
          <w:rFonts w:hint="default" w:ascii="仿宋_GB2312" w:hAnsi="仿宋_GB2312" w:eastAsia="仿宋_GB2312" w:cs="仿宋_GB2312"/>
          <w:b w:val="0"/>
          <w:color w:val="auto"/>
          <w:spacing w:val="-11"/>
          <w:kern w:val="2"/>
          <w:sz w:val="36"/>
          <w:szCs w:val="36"/>
        </w:rPr>
      </w:pPr>
      <w:r>
        <w:rPr>
          <w:rFonts w:ascii="仿宋_GB2312" w:hAnsi="仿宋_GB2312" w:eastAsia="仿宋_GB2312" w:cs="仿宋_GB2312"/>
          <w:b w:val="0"/>
          <w:color w:val="auto"/>
          <w:kern w:val="2"/>
          <w:sz w:val="36"/>
          <w:szCs w:val="36"/>
        </w:rPr>
        <w:t>2.</w:t>
      </w:r>
      <w:r>
        <w:rPr>
          <w:rFonts w:ascii="仿宋_GB2312" w:hAnsi="仿宋_GB2312" w:eastAsia="仿宋_GB2312" w:cs="仿宋_GB2312"/>
          <w:b w:val="0"/>
          <w:color w:val="auto"/>
          <w:spacing w:val="-11"/>
          <w:kern w:val="2"/>
          <w:sz w:val="36"/>
          <w:szCs w:val="36"/>
        </w:rPr>
        <w:t>各县（市、区）第三产业年度目标任务一览表</w:t>
      </w:r>
    </w:p>
    <w:p>
      <w:pPr>
        <w:keepNext w:val="0"/>
        <w:keepLines w:val="0"/>
        <w:pageBreakBefore w:val="0"/>
        <w:kinsoku/>
        <w:wordWrap/>
        <w:overflowPunct/>
        <w:topLinePunct w:val="0"/>
        <w:autoSpaceDE/>
        <w:autoSpaceDN/>
        <w:bidi w:val="0"/>
        <w:spacing w:line="600" w:lineRule="exact"/>
        <w:rPr>
          <w:rFonts w:ascii="仿宋_GB2312" w:hAnsi="仿宋_GB2312" w:eastAsia="仿宋_GB2312" w:cs="仿宋_GB2312"/>
          <w:color w:val="auto"/>
          <w:spacing w:val="-11"/>
          <w:sz w:val="36"/>
          <w:szCs w:val="36"/>
        </w:rPr>
      </w:pPr>
      <w:r>
        <w:rPr>
          <w:rFonts w:hint="eastAsia" w:ascii="仿宋_GB2312" w:hAnsi="仿宋_GB2312" w:eastAsia="仿宋_GB2312" w:cs="仿宋_GB2312"/>
          <w:color w:val="auto"/>
          <w:spacing w:val="-11"/>
          <w:sz w:val="36"/>
          <w:szCs w:val="36"/>
        </w:rPr>
        <w:br w:type="page"/>
      </w:r>
    </w:p>
    <w:p>
      <w:pPr>
        <w:adjustRightInd w:val="0"/>
        <w:snapToGrid w:val="0"/>
        <w:spacing w:line="600" w:lineRule="exac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附件1</w:t>
      </w:r>
    </w:p>
    <w:p>
      <w:pPr>
        <w:adjustRightInd w:val="0"/>
        <w:snapToGrid w:val="0"/>
        <w:spacing w:line="600" w:lineRule="exact"/>
        <w:jc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第三产业分行业增加值年均增长目标任务一览表</w:t>
      </w:r>
    </w:p>
    <w:tbl>
      <w:tblPr>
        <w:tblStyle w:val="13"/>
        <w:tblpPr w:leftFromText="180" w:rightFromText="180" w:vertAnchor="text" w:horzAnchor="page" w:tblpX="1409" w:tblpY="395"/>
        <w:tblOverlap w:val="never"/>
        <w:tblW w:w="9446" w:type="dxa"/>
        <w:tblInd w:w="0" w:type="dxa"/>
        <w:tblLayout w:type="fixed"/>
        <w:tblCellMar>
          <w:top w:w="0" w:type="dxa"/>
          <w:left w:w="108" w:type="dxa"/>
          <w:bottom w:w="0" w:type="dxa"/>
          <w:right w:w="108" w:type="dxa"/>
        </w:tblCellMar>
      </w:tblPr>
      <w:tblGrid>
        <w:gridCol w:w="1721"/>
        <w:gridCol w:w="1575"/>
        <w:gridCol w:w="1635"/>
        <w:gridCol w:w="2055"/>
        <w:gridCol w:w="2460"/>
      </w:tblGrid>
      <w:tr>
        <w:tblPrEx>
          <w:tblCellMar>
            <w:top w:w="0" w:type="dxa"/>
            <w:left w:w="108" w:type="dxa"/>
            <w:bottom w:w="0" w:type="dxa"/>
            <w:right w:w="108" w:type="dxa"/>
          </w:tblCellMar>
        </w:tblPrEx>
        <w:trPr>
          <w:trHeight w:val="1157"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黑体" w:hAnsi="黑体" w:eastAsia="黑体"/>
                <w:color w:val="auto"/>
                <w:kern w:val="0"/>
                <w:sz w:val="28"/>
                <w:szCs w:val="28"/>
              </w:rPr>
            </w:pPr>
            <w:r>
              <w:rPr>
                <w:rFonts w:hint="eastAsia" w:ascii="黑体" w:hAnsi="黑体" w:eastAsia="黑体"/>
                <w:color w:val="auto"/>
                <w:kern w:val="0"/>
                <w:sz w:val="28"/>
                <w:szCs w:val="28"/>
              </w:rPr>
              <w:t>分行业</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黑体" w:hAnsi="黑体" w:eastAsia="黑体"/>
                <w:color w:val="auto"/>
                <w:kern w:val="0"/>
                <w:sz w:val="28"/>
                <w:szCs w:val="28"/>
              </w:rPr>
            </w:pPr>
            <w:r>
              <w:rPr>
                <w:rFonts w:hint="eastAsia" w:ascii="黑体" w:hAnsi="黑体" w:eastAsia="黑体"/>
                <w:color w:val="auto"/>
                <w:kern w:val="0"/>
                <w:sz w:val="28"/>
                <w:szCs w:val="28"/>
              </w:rPr>
              <w:t>2022-2025年均预期增长(%)</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黑体" w:hAnsi="黑体" w:eastAsia="黑体"/>
                <w:color w:val="auto"/>
                <w:kern w:val="0"/>
                <w:sz w:val="28"/>
                <w:szCs w:val="28"/>
              </w:rPr>
            </w:pPr>
            <w:r>
              <w:rPr>
                <w:rFonts w:hint="eastAsia" w:ascii="黑体" w:hAnsi="黑体" w:eastAsia="黑体"/>
                <w:color w:val="auto"/>
                <w:kern w:val="0"/>
                <w:sz w:val="28"/>
                <w:szCs w:val="28"/>
              </w:rPr>
              <w:t>2025年预期增加值总量（亿元）</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黑体" w:hAnsi="黑体" w:eastAsia="黑体"/>
                <w:color w:val="auto"/>
                <w:kern w:val="0"/>
                <w:sz w:val="28"/>
                <w:szCs w:val="28"/>
              </w:rPr>
            </w:pPr>
            <w:r>
              <w:rPr>
                <w:rFonts w:hint="eastAsia" w:ascii="黑体" w:hAnsi="黑体" w:eastAsia="黑体"/>
                <w:color w:val="auto"/>
                <w:kern w:val="0"/>
                <w:sz w:val="28"/>
                <w:szCs w:val="28"/>
              </w:rPr>
              <w:t>主要支撑指标</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黑体" w:hAnsi="黑体" w:eastAsia="黑体"/>
                <w:color w:val="auto"/>
                <w:kern w:val="0"/>
                <w:sz w:val="28"/>
                <w:szCs w:val="28"/>
              </w:rPr>
            </w:pPr>
            <w:r>
              <w:rPr>
                <w:rFonts w:hint="eastAsia" w:ascii="黑体" w:hAnsi="黑体" w:eastAsia="黑体"/>
                <w:color w:val="auto"/>
                <w:kern w:val="0"/>
                <w:sz w:val="28"/>
                <w:szCs w:val="28"/>
              </w:rPr>
              <w:t>责任单位</w:t>
            </w:r>
          </w:p>
        </w:tc>
      </w:tr>
      <w:tr>
        <w:tblPrEx>
          <w:tblCellMar>
            <w:top w:w="0" w:type="dxa"/>
            <w:left w:w="108" w:type="dxa"/>
            <w:bottom w:w="0" w:type="dxa"/>
            <w:right w:w="108" w:type="dxa"/>
          </w:tblCellMar>
        </w:tblPrEx>
        <w:trPr>
          <w:trHeight w:val="47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b/>
                <w:bCs/>
                <w:color w:val="auto"/>
                <w:kern w:val="0"/>
                <w:sz w:val="24"/>
              </w:rPr>
            </w:pPr>
            <w:r>
              <w:rPr>
                <w:rFonts w:hint="eastAsia" w:ascii="宋体" w:hAnsi="宋体" w:cs="宋体"/>
                <w:b/>
                <w:bCs/>
                <w:color w:val="auto"/>
                <w:kern w:val="0"/>
                <w:sz w:val="24"/>
              </w:rPr>
              <w:t>批发和零售业</w:t>
            </w:r>
          </w:p>
        </w:tc>
        <w:tc>
          <w:tcPr>
            <w:tcW w:w="157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13.5</w:t>
            </w:r>
          </w:p>
        </w:tc>
        <w:tc>
          <w:tcPr>
            <w:tcW w:w="163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480</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批发业销售额</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市商务局</w:t>
            </w:r>
          </w:p>
        </w:tc>
      </w:tr>
      <w:tr>
        <w:tblPrEx>
          <w:tblCellMar>
            <w:top w:w="0" w:type="dxa"/>
            <w:left w:w="108" w:type="dxa"/>
            <w:bottom w:w="0" w:type="dxa"/>
            <w:right w:w="108" w:type="dxa"/>
          </w:tblCellMar>
        </w:tblPrEx>
        <w:trPr>
          <w:trHeight w:val="52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b/>
                <w:bCs/>
                <w:color w:val="auto"/>
                <w:kern w:val="0"/>
                <w:sz w:val="24"/>
              </w:rPr>
            </w:pPr>
          </w:p>
        </w:tc>
        <w:tc>
          <w:tcPr>
            <w:tcW w:w="157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p>
        </w:tc>
        <w:tc>
          <w:tcPr>
            <w:tcW w:w="163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零售业销售额</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p>
        </w:tc>
      </w:tr>
      <w:tr>
        <w:tblPrEx>
          <w:tblCellMar>
            <w:top w:w="0" w:type="dxa"/>
            <w:left w:w="108" w:type="dxa"/>
            <w:bottom w:w="0" w:type="dxa"/>
            <w:right w:w="108" w:type="dxa"/>
          </w:tblCellMar>
        </w:tblPrEx>
        <w:trPr>
          <w:trHeight w:val="44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b/>
                <w:bCs/>
                <w:color w:val="auto"/>
                <w:kern w:val="0"/>
                <w:sz w:val="24"/>
              </w:rPr>
            </w:pPr>
            <w:r>
              <w:rPr>
                <w:rFonts w:hint="eastAsia" w:ascii="宋体" w:hAnsi="宋体" w:cs="宋体"/>
                <w:b/>
                <w:bCs/>
                <w:color w:val="auto"/>
                <w:kern w:val="0"/>
                <w:sz w:val="24"/>
              </w:rPr>
              <w:t>住宿和餐饮业</w:t>
            </w:r>
          </w:p>
        </w:tc>
        <w:tc>
          <w:tcPr>
            <w:tcW w:w="157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16</w:t>
            </w:r>
          </w:p>
        </w:tc>
        <w:tc>
          <w:tcPr>
            <w:tcW w:w="163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100</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住宿业营业额</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市商务局</w:t>
            </w:r>
          </w:p>
        </w:tc>
      </w:tr>
      <w:tr>
        <w:tblPrEx>
          <w:tblCellMar>
            <w:top w:w="0" w:type="dxa"/>
            <w:left w:w="108" w:type="dxa"/>
            <w:bottom w:w="0" w:type="dxa"/>
            <w:right w:w="108" w:type="dxa"/>
          </w:tblCellMar>
        </w:tblPrEx>
        <w:trPr>
          <w:trHeight w:val="61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b/>
                <w:bCs/>
                <w:color w:val="auto"/>
                <w:kern w:val="0"/>
                <w:sz w:val="24"/>
              </w:rPr>
            </w:pPr>
          </w:p>
        </w:tc>
        <w:tc>
          <w:tcPr>
            <w:tcW w:w="157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p>
        </w:tc>
        <w:tc>
          <w:tcPr>
            <w:tcW w:w="163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餐饮业营业额</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p>
        </w:tc>
      </w:tr>
      <w:tr>
        <w:tblPrEx>
          <w:tblCellMar>
            <w:top w:w="0" w:type="dxa"/>
            <w:left w:w="108" w:type="dxa"/>
            <w:bottom w:w="0" w:type="dxa"/>
            <w:right w:w="108" w:type="dxa"/>
          </w:tblCellMar>
        </w:tblPrEx>
        <w:trPr>
          <w:trHeight w:val="61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b/>
                <w:bCs/>
                <w:color w:val="auto"/>
              </w:rPr>
            </w:pPr>
            <w:r>
              <w:rPr>
                <w:rFonts w:hint="eastAsia" w:ascii="宋体" w:hAnsi="宋体" w:cs="宋体"/>
                <w:b/>
                <w:bCs/>
                <w:color w:val="auto"/>
                <w:kern w:val="0"/>
                <w:sz w:val="24"/>
              </w:rPr>
              <w:t>交通运输、仓储和邮政业</w:t>
            </w:r>
          </w:p>
        </w:tc>
        <w:tc>
          <w:tcPr>
            <w:tcW w:w="1575" w:type="dxa"/>
            <w:vMerge w:val="restart"/>
            <w:tcBorders>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8.5</w:t>
            </w:r>
          </w:p>
        </w:tc>
        <w:tc>
          <w:tcPr>
            <w:tcW w:w="1635" w:type="dxa"/>
            <w:vMerge w:val="restart"/>
            <w:tcBorders>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90</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公路客货运输</w:t>
            </w:r>
          </w:p>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周转量</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市交通运输局</w:t>
            </w:r>
          </w:p>
        </w:tc>
      </w:tr>
      <w:tr>
        <w:tblPrEx>
          <w:tblCellMar>
            <w:top w:w="0" w:type="dxa"/>
            <w:left w:w="108" w:type="dxa"/>
            <w:bottom w:w="0" w:type="dxa"/>
            <w:right w:w="108" w:type="dxa"/>
          </w:tblCellMar>
        </w:tblPrEx>
        <w:trPr>
          <w:trHeight w:val="61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b/>
                <w:bCs/>
                <w:color w:val="auto"/>
              </w:rPr>
            </w:pPr>
          </w:p>
        </w:tc>
        <w:tc>
          <w:tcPr>
            <w:tcW w:w="157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p>
        </w:tc>
        <w:tc>
          <w:tcPr>
            <w:tcW w:w="163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邮政业务总量</w:t>
            </w:r>
          </w:p>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(错月)</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市邮政管理局</w:t>
            </w:r>
          </w:p>
        </w:tc>
      </w:tr>
      <w:tr>
        <w:tblPrEx>
          <w:tblCellMar>
            <w:top w:w="0" w:type="dxa"/>
            <w:left w:w="108" w:type="dxa"/>
            <w:bottom w:w="0" w:type="dxa"/>
            <w:right w:w="108" w:type="dxa"/>
          </w:tblCellMar>
        </w:tblPrEx>
        <w:trPr>
          <w:trHeight w:val="605" w:hRule="atLeast"/>
        </w:trPr>
        <w:tc>
          <w:tcPr>
            <w:tcW w:w="1721"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20" w:lineRule="exact"/>
              <w:jc w:val="center"/>
              <w:rPr>
                <w:rFonts w:ascii="宋体" w:hAnsi="宋体" w:cs="宋体"/>
                <w:b/>
                <w:bCs/>
                <w:color w:val="auto"/>
                <w:kern w:val="0"/>
                <w:sz w:val="24"/>
              </w:rPr>
            </w:pPr>
            <w:r>
              <w:rPr>
                <w:rFonts w:hint="eastAsia" w:ascii="宋体" w:hAnsi="宋体" w:cs="宋体"/>
                <w:b/>
                <w:bCs/>
                <w:color w:val="auto"/>
                <w:kern w:val="0"/>
                <w:sz w:val="24"/>
              </w:rPr>
              <w:t>金融业</w:t>
            </w:r>
          </w:p>
        </w:tc>
        <w:tc>
          <w:tcPr>
            <w:tcW w:w="157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4.2</w:t>
            </w:r>
          </w:p>
        </w:tc>
        <w:tc>
          <w:tcPr>
            <w:tcW w:w="163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200</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本外币存贷款</w:t>
            </w:r>
          </w:p>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余额</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市金融监管局、人行</w:t>
            </w:r>
          </w:p>
        </w:tc>
      </w:tr>
      <w:tr>
        <w:tblPrEx>
          <w:tblCellMar>
            <w:top w:w="0" w:type="dxa"/>
            <w:left w:w="108" w:type="dxa"/>
            <w:bottom w:w="0" w:type="dxa"/>
            <w:right w:w="108" w:type="dxa"/>
          </w:tblCellMar>
        </w:tblPrEx>
        <w:trPr>
          <w:trHeight w:val="455" w:hRule="atLeast"/>
        </w:trPr>
        <w:tc>
          <w:tcPr>
            <w:tcW w:w="1721"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b/>
                <w:bCs/>
                <w:color w:val="auto"/>
                <w:kern w:val="0"/>
                <w:sz w:val="24"/>
              </w:rPr>
            </w:pPr>
          </w:p>
        </w:tc>
        <w:tc>
          <w:tcPr>
            <w:tcW w:w="157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p>
        </w:tc>
        <w:tc>
          <w:tcPr>
            <w:tcW w:w="163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保费收入</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市银保监局</w:t>
            </w:r>
          </w:p>
        </w:tc>
      </w:tr>
      <w:tr>
        <w:tblPrEx>
          <w:tblCellMar>
            <w:top w:w="0" w:type="dxa"/>
            <w:left w:w="108" w:type="dxa"/>
            <w:bottom w:w="0" w:type="dxa"/>
            <w:right w:w="108" w:type="dxa"/>
          </w:tblCellMar>
        </w:tblPrEx>
        <w:trPr>
          <w:trHeight w:val="4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b/>
                <w:bCs/>
                <w:color w:val="auto"/>
                <w:kern w:val="0"/>
                <w:sz w:val="24"/>
              </w:rPr>
            </w:pPr>
            <w:r>
              <w:rPr>
                <w:rFonts w:hint="eastAsia" w:ascii="宋体" w:hAnsi="宋体" w:cs="宋体"/>
                <w:b/>
                <w:bCs/>
                <w:color w:val="auto"/>
                <w:kern w:val="0"/>
                <w:sz w:val="24"/>
              </w:rPr>
              <w:t>房地产业</w:t>
            </w:r>
          </w:p>
        </w:tc>
        <w:tc>
          <w:tcPr>
            <w:tcW w:w="157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5.0</w:t>
            </w:r>
          </w:p>
        </w:tc>
        <w:tc>
          <w:tcPr>
            <w:tcW w:w="163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170</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商品房销售面积</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市住建局</w:t>
            </w:r>
          </w:p>
        </w:tc>
      </w:tr>
      <w:tr>
        <w:tblPrEx>
          <w:tblCellMar>
            <w:top w:w="0" w:type="dxa"/>
            <w:left w:w="108" w:type="dxa"/>
            <w:bottom w:w="0" w:type="dxa"/>
            <w:right w:w="108" w:type="dxa"/>
          </w:tblCellMar>
        </w:tblPrEx>
        <w:trPr>
          <w:trHeight w:val="52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b/>
                <w:bCs/>
                <w:color w:val="auto"/>
                <w:kern w:val="0"/>
                <w:sz w:val="24"/>
              </w:rPr>
            </w:pPr>
          </w:p>
        </w:tc>
        <w:tc>
          <w:tcPr>
            <w:tcW w:w="157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p>
        </w:tc>
        <w:tc>
          <w:tcPr>
            <w:tcW w:w="163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房地产业工资</w:t>
            </w:r>
          </w:p>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总额</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p>
        </w:tc>
      </w:tr>
      <w:tr>
        <w:tblPrEx>
          <w:tblCellMar>
            <w:top w:w="0" w:type="dxa"/>
            <w:left w:w="108" w:type="dxa"/>
            <w:bottom w:w="0" w:type="dxa"/>
            <w:right w:w="108" w:type="dxa"/>
          </w:tblCellMar>
        </w:tblPrEx>
        <w:trPr>
          <w:trHeight w:val="1301"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b/>
                <w:bCs/>
                <w:color w:val="auto"/>
                <w:kern w:val="0"/>
                <w:sz w:val="24"/>
              </w:rPr>
            </w:pPr>
            <w:r>
              <w:rPr>
                <w:rFonts w:hint="eastAsia" w:ascii="宋体" w:hAnsi="宋体" w:cs="宋体"/>
                <w:b/>
                <w:bCs/>
                <w:color w:val="auto"/>
                <w:kern w:val="0"/>
                <w:sz w:val="24"/>
              </w:rPr>
              <w:t>营利性服务业</w:t>
            </w:r>
          </w:p>
        </w:tc>
        <w:tc>
          <w:tcPr>
            <w:tcW w:w="157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12.5</w:t>
            </w:r>
          </w:p>
        </w:tc>
        <w:tc>
          <w:tcPr>
            <w:tcW w:w="163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250</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auto"/>
                <w:kern w:val="0"/>
                <w:sz w:val="24"/>
              </w:rPr>
            </w:pPr>
            <w:r>
              <w:rPr>
                <w:rFonts w:hint="eastAsia" w:ascii="宋体" w:hAnsi="宋体" w:cs="宋体"/>
                <w:color w:val="auto"/>
                <w:kern w:val="0"/>
                <w:sz w:val="24"/>
              </w:rPr>
              <w:t>规模其他营利性服务业营业收入(错月）</w:t>
            </w:r>
          </w:p>
        </w:tc>
        <w:tc>
          <w:tcPr>
            <w:tcW w:w="2460" w:type="dxa"/>
            <w:tcBorders>
              <w:top w:val="single" w:color="000000" w:sz="4" w:space="0"/>
              <w:left w:val="single" w:color="000000" w:sz="4" w:space="0"/>
              <w:bottom w:val="single" w:color="000000" w:sz="4" w:space="0"/>
              <w:right w:val="single" w:color="000000" w:sz="4" w:space="0"/>
            </w:tcBorders>
            <w:vAlign w:val="center"/>
          </w:tcPr>
          <w:p>
            <w:pPr>
              <w:pStyle w:val="22"/>
              <w:spacing w:line="320" w:lineRule="exact"/>
              <w:jc w:val="center"/>
              <w:rPr>
                <w:rFonts w:ascii="宋体" w:hAnsi="宋体" w:eastAsia="宋体" w:cs="宋体"/>
                <w:color w:val="auto"/>
                <w:sz w:val="24"/>
                <w:szCs w:val="24"/>
              </w:rPr>
            </w:pPr>
            <w:r>
              <w:rPr>
                <w:rFonts w:hint="eastAsia" w:ascii="宋体" w:hAnsi="宋体" w:eastAsia="宋体" w:cs="宋体"/>
                <w:color w:val="auto"/>
                <w:sz w:val="24"/>
                <w:szCs w:val="24"/>
              </w:rPr>
              <w:t>市发改委、市场监管局、商务局、国资委、文旅局、体育局、科技局、工信局等部门</w:t>
            </w:r>
          </w:p>
        </w:tc>
      </w:tr>
      <w:tr>
        <w:tblPrEx>
          <w:tblCellMar>
            <w:top w:w="0" w:type="dxa"/>
            <w:left w:w="108" w:type="dxa"/>
            <w:bottom w:w="0" w:type="dxa"/>
            <w:right w:w="108" w:type="dxa"/>
          </w:tblCellMar>
        </w:tblPrEx>
        <w:trPr>
          <w:trHeight w:val="5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b/>
                <w:bCs/>
                <w:color w:val="auto"/>
                <w:kern w:val="0"/>
                <w:sz w:val="24"/>
              </w:rPr>
            </w:pPr>
          </w:p>
        </w:tc>
        <w:tc>
          <w:tcPr>
            <w:tcW w:w="1575"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auto"/>
                <w:kern w:val="0"/>
                <w:sz w:val="24"/>
              </w:rPr>
            </w:pPr>
          </w:p>
        </w:tc>
        <w:tc>
          <w:tcPr>
            <w:tcW w:w="1635"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auto"/>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电信业务总量</w:t>
            </w:r>
          </w:p>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(错月)</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市通信办</w:t>
            </w:r>
          </w:p>
        </w:tc>
      </w:tr>
      <w:tr>
        <w:tblPrEx>
          <w:tblCellMar>
            <w:top w:w="0" w:type="dxa"/>
            <w:left w:w="108" w:type="dxa"/>
            <w:bottom w:w="0" w:type="dxa"/>
            <w:right w:w="108" w:type="dxa"/>
          </w:tblCellMar>
        </w:tblPrEx>
        <w:trPr>
          <w:trHeight w:val="55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b/>
                <w:bCs/>
                <w:color w:val="auto"/>
                <w:kern w:val="0"/>
                <w:sz w:val="24"/>
              </w:rPr>
            </w:pPr>
          </w:p>
        </w:tc>
        <w:tc>
          <w:tcPr>
            <w:tcW w:w="157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auto"/>
                <w:kern w:val="0"/>
                <w:sz w:val="24"/>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auto"/>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营利性服务业</w:t>
            </w:r>
          </w:p>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工资总额</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市发改委</w:t>
            </w:r>
          </w:p>
        </w:tc>
      </w:tr>
      <w:tr>
        <w:tblPrEx>
          <w:tblCellMar>
            <w:top w:w="0" w:type="dxa"/>
            <w:left w:w="108" w:type="dxa"/>
            <w:bottom w:w="0" w:type="dxa"/>
            <w:right w:w="108" w:type="dxa"/>
          </w:tblCellMar>
        </w:tblPrEx>
        <w:trPr>
          <w:trHeight w:val="13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b/>
                <w:bCs/>
                <w:color w:val="auto"/>
                <w:kern w:val="0"/>
                <w:sz w:val="24"/>
              </w:rPr>
            </w:pPr>
            <w:r>
              <w:rPr>
                <w:rFonts w:hint="eastAsia" w:ascii="宋体" w:hAnsi="宋体" w:cs="宋体"/>
                <w:b/>
                <w:bCs/>
                <w:color w:val="auto"/>
                <w:kern w:val="0"/>
                <w:sz w:val="24"/>
              </w:rPr>
              <w:t>非营利性服务业</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7.0</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310</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非营利性服务业工资总额</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市水利局、生态环境局、城管局、教育局、卫健委、民政局、人社局等部门</w:t>
            </w:r>
          </w:p>
        </w:tc>
      </w:tr>
    </w:tbl>
    <w:p>
      <w:pPr>
        <w:rPr>
          <w:color w:val="auto"/>
        </w:rPr>
        <w:sectPr>
          <w:footerReference r:id="rId3" w:type="default"/>
          <w:pgSz w:w="11906" w:h="16838"/>
          <w:pgMar w:top="2098" w:right="1531" w:bottom="1984" w:left="1531" w:header="851" w:footer="992" w:gutter="0"/>
          <w:cols w:space="720" w:num="1"/>
          <w:docGrid w:type="lines" w:linePitch="312" w:charSpace="0"/>
        </w:sectPr>
      </w:pPr>
    </w:p>
    <w:p>
      <w:pPr>
        <w:adjustRightInd w:val="0"/>
        <w:snapToGrid w:val="0"/>
        <w:spacing w:line="600" w:lineRule="exac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附件2</w:t>
      </w:r>
    </w:p>
    <w:p>
      <w:pPr>
        <w:adjustRightInd w:val="0"/>
        <w:snapToGrid w:val="0"/>
        <w:spacing w:line="600" w:lineRule="exact"/>
        <w:jc w:val="center"/>
        <w:rPr>
          <w:rFonts w:ascii="楷体_GB2312" w:hAnsi="楷体_GB2312" w:eastAsia="楷体_GB2312" w:cs="楷体_GB2312"/>
          <w:color w:val="auto"/>
          <w:sz w:val="36"/>
          <w:szCs w:val="36"/>
        </w:rPr>
      </w:pPr>
      <w:r>
        <w:rPr>
          <w:rFonts w:hint="eastAsia" w:ascii="方正小标宋简体" w:hAnsi="方正小标宋简体" w:eastAsia="方正小标宋简体" w:cs="方正小标宋简体"/>
          <w:color w:val="auto"/>
          <w:sz w:val="40"/>
          <w:szCs w:val="40"/>
        </w:rPr>
        <w:t>各县（市、区）第三产业年度目标任务一览表</w:t>
      </w:r>
    </w:p>
    <w:tbl>
      <w:tblPr>
        <w:tblStyle w:val="13"/>
        <w:tblpPr w:leftFromText="180" w:rightFromText="180" w:vertAnchor="text" w:horzAnchor="page" w:tblpX="1761" w:tblpY="208"/>
        <w:tblOverlap w:val="never"/>
        <w:tblW w:w="13294" w:type="dxa"/>
        <w:tblInd w:w="0" w:type="dxa"/>
        <w:tblLayout w:type="fixed"/>
        <w:tblCellMar>
          <w:top w:w="0" w:type="dxa"/>
          <w:left w:w="108" w:type="dxa"/>
          <w:bottom w:w="0" w:type="dxa"/>
          <w:right w:w="108" w:type="dxa"/>
        </w:tblCellMar>
      </w:tblPr>
      <w:tblGrid>
        <w:gridCol w:w="1661"/>
        <w:gridCol w:w="1661"/>
        <w:gridCol w:w="1661"/>
        <w:gridCol w:w="1661"/>
        <w:gridCol w:w="1661"/>
        <w:gridCol w:w="1661"/>
        <w:gridCol w:w="1661"/>
        <w:gridCol w:w="1667"/>
      </w:tblGrid>
      <w:tr>
        <w:tblPrEx>
          <w:tblCellMar>
            <w:top w:w="0" w:type="dxa"/>
            <w:left w:w="108" w:type="dxa"/>
            <w:bottom w:w="0" w:type="dxa"/>
            <w:right w:w="108" w:type="dxa"/>
          </w:tblCellMar>
        </w:tblPrEx>
        <w:trPr>
          <w:trHeight w:val="500"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sz w:val="24"/>
              </w:rPr>
            </w:pPr>
            <w:r>
              <w:rPr>
                <w:rFonts w:hint="eastAsia" w:ascii="黑体" w:hAnsi="宋体" w:eastAsia="黑体"/>
                <w:color w:val="auto"/>
                <w:kern w:val="0"/>
                <w:sz w:val="24"/>
              </w:rPr>
              <w:t>县（市、区）</w:t>
            </w: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kern w:val="0"/>
                <w:sz w:val="24"/>
              </w:rPr>
            </w:pPr>
            <w:r>
              <w:rPr>
                <w:rFonts w:hint="eastAsia" w:ascii="黑体" w:hAnsi="宋体" w:eastAsia="黑体"/>
                <w:color w:val="auto"/>
                <w:kern w:val="0"/>
                <w:sz w:val="24"/>
              </w:rPr>
              <w:t>招商项目</w:t>
            </w:r>
          </w:p>
        </w:tc>
        <w:tc>
          <w:tcPr>
            <w:tcW w:w="4983"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400" w:lineRule="exact"/>
              <w:jc w:val="center"/>
              <w:textAlignment w:val="center"/>
              <w:rPr>
                <w:rFonts w:ascii="黑体" w:hAnsi="宋体" w:eastAsia="黑体"/>
                <w:color w:val="auto"/>
                <w:kern w:val="0"/>
                <w:sz w:val="24"/>
              </w:rPr>
            </w:pPr>
            <w:r>
              <w:rPr>
                <w:rFonts w:hint="eastAsia" w:ascii="黑体" w:hAnsi="宋体" w:eastAsia="黑体"/>
                <w:color w:val="auto"/>
                <w:kern w:val="0"/>
                <w:sz w:val="24"/>
              </w:rPr>
              <w:t>企业培育</w:t>
            </w:r>
          </w:p>
        </w:tc>
        <w:tc>
          <w:tcPr>
            <w:tcW w:w="332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kern w:val="0"/>
                <w:sz w:val="24"/>
              </w:rPr>
            </w:pPr>
            <w:r>
              <w:rPr>
                <w:rFonts w:hint="eastAsia" w:ascii="黑体" w:hAnsi="宋体" w:eastAsia="黑体"/>
                <w:color w:val="auto"/>
                <w:kern w:val="0"/>
                <w:sz w:val="24"/>
              </w:rPr>
              <w:t>市级服务业重点项目</w:t>
            </w:r>
          </w:p>
        </w:tc>
      </w:tr>
      <w:tr>
        <w:tblPrEx>
          <w:tblCellMar>
            <w:top w:w="0" w:type="dxa"/>
            <w:left w:w="108" w:type="dxa"/>
            <w:bottom w:w="0" w:type="dxa"/>
            <w:right w:w="108" w:type="dxa"/>
          </w:tblCellMar>
        </w:tblPrEx>
        <w:trPr>
          <w:trHeight w:val="302"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黑体" w:hAnsi="宋体" w:eastAsia="黑体"/>
                <w:color w:val="auto"/>
                <w:sz w:val="24"/>
              </w:rPr>
            </w:pPr>
          </w:p>
        </w:tc>
        <w:tc>
          <w:tcPr>
            <w:tcW w:w="1661" w:type="dxa"/>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kern w:val="0"/>
                <w:sz w:val="24"/>
              </w:rPr>
            </w:pPr>
            <w:r>
              <w:rPr>
                <w:rFonts w:hint="eastAsia" w:ascii="黑体" w:hAnsi="宋体" w:eastAsia="黑体"/>
                <w:color w:val="auto"/>
                <w:kern w:val="0"/>
                <w:sz w:val="24"/>
              </w:rPr>
              <w:t>谋划项目数（个）</w:t>
            </w:r>
          </w:p>
        </w:tc>
        <w:tc>
          <w:tcPr>
            <w:tcW w:w="1661" w:type="dxa"/>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kern w:val="0"/>
                <w:sz w:val="24"/>
              </w:rPr>
            </w:pPr>
            <w:r>
              <w:rPr>
                <w:rFonts w:hint="eastAsia" w:ascii="黑体" w:hAnsi="宋体" w:eastAsia="黑体"/>
                <w:color w:val="auto"/>
                <w:kern w:val="0"/>
                <w:sz w:val="24"/>
              </w:rPr>
              <w:t>签约项目数（个）</w:t>
            </w:r>
          </w:p>
        </w:tc>
        <w:tc>
          <w:tcPr>
            <w:tcW w:w="1661" w:type="dxa"/>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sz w:val="24"/>
              </w:rPr>
            </w:pPr>
            <w:r>
              <w:rPr>
                <w:rFonts w:hint="eastAsia" w:ascii="黑体" w:hAnsi="宋体" w:eastAsia="黑体"/>
                <w:color w:val="auto"/>
                <w:kern w:val="0"/>
                <w:sz w:val="24"/>
              </w:rPr>
              <w:t>限额以上商贸企业（家）</w:t>
            </w:r>
          </w:p>
        </w:tc>
        <w:tc>
          <w:tcPr>
            <w:tcW w:w="1661" w:type="dxa"/>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sz w:val="24"/>
              </w:rPr>
            </w:pPr>
            <w:r>
              <w:rPr>
                <w:rFonts w:hint="eastAsia" w:ascii="黑体" w:hAnsi="宋体" w:eastAsia="黑体"/>
                <w:color w:val="auto"/>
                <w:kern w:val="0"/>
                <w:sz w:val="24"/>
              </w:rPr>
              <w:t>规模以上服务业企业（家）</w:t>
            </w:r>
          </w:p>
        </w:tc>
        <w:tc>
          <w:tcPr>
            <w:tcW w:w="1661" w:type="dxa"/>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kern w:val="0"/>
                <w:sz w:val="24"/>
              </w:rPr>
            </w:pPr>
            <w:r>
              <w:rPr>
                <w:rFonts w:hint="eastAsia" w:ascii="黑体" w:hAnsi="宋体" w:eastAsia="黑体"/>
                <w:color w:val="auto"/>
                <w:kern w:val="0"/>
                <w:sz w:val="24"/>
              </w:rPr>
              <w:t>工贸分离企业</w:t>
            </w:r>
          </w:p>
        </w:tc>
        <w:tc>
          <w:tcPr>
            <w:tcW w:w="1661" w:type="dxa"/>
            <w:tcBorders>
              <w:top w:val="single" w:color="auto" w:sz="4" w:space="0"/>
              <w:left w:val="single" w:color="000000" w:sz="4" w:space="0"/>
              <w:bottom w:val="nil"/>
              <w:right w:val="single" w:color="auto" w:sz="4" w:space="0"/>
            </w:tcBorders>
            <w:shd w:val="clear" w:color="auto" w:fill="auto"/>
            <w:vAlign w:val="center"/>
          </w:tcPr>
          <w:p>
            <w:pPr>
              <w:widowControl/>
              <w:spacing w:line="400" w:lineRule="exact"/>
              <w:jc w:val="center"/>
              <w:textAlignment w:val="center"/>
              <w:rPr>
                <w:rFonts w:ascii="黑体" w:hAnsi="宋体" w:eastAsia="黑体"/>
                <w:color w:val="auto"/>
                <w:kern w:val="0"/>
                <w:sz w:val="24"/>
              </w:rPr>
            </w:pPr>
            <w:r>
              <w:rPr>
                <w:rFonts w:hint="eastAsia" w:ascii="黑体" w:hAnsi="宋体" w:eastAsia="黑体"/>
                <w:color w:val="auto"/>
                <w:kern w:val="0"/>
                <w:sz w:val="24"/>
              </w:rPr>
              <w:t>个数（个）</w:t>
            </w:r>
          </w:p>
        </w:tc>
        <w:tc>
          <w:tcPr>
            <w:tcW w:w="1667" w:type="dxa"/>
            <w:tcBorders>
              <w:top w:val="single" w:color="auto" w:sz="4" w:space="0"/>
              <w:left w:val="single" w:color="auto" w:sz="4" w:space="0"/>
              <w:bottom w:val="nil"/>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kern w:val="0"/>
                <w:sz w:val="24"/>
              </w:rPr>
            </w:pPr>
            <w:r>
              <w:rPr>
                <w:rFonts w:hint="eastAsia" w:ascii="黑体" w:hAnsi="宋体" w:eastAsia="黑体"/>
                <w:color w:val="auto"/>
                <w:kern w:val="0"/>
                <w:sz w:val="24"/>
              </w:rPr>
              <w:t>投资</w:t>
            </w:r>
          </w:p>
          <w:p>
            <w:pPr>
              <w:widowControl/>
              <w:spacing w:line="400" w:lineRule="exact"/>
              <w:jc w:val="center"/>
              <w:textAlignment w:val="center"/>
              <w:rPr>
                <w:rFonts w:ascii="黑体" w:hAnsi="宋体" w:eastAsia="黑体"/>
                <w:color w:val="auto"/>
                <w:kern w:val="0"/>
                <w:sz w:val="24"/>
              </w:rPr>
            </w:pPr>
            <w:r>
              <w:rPr>
                <w:rFonts w:hint="eastAsia" w:ascii="黑体" w:hAnsi="宋体" w:eastAsia="黑体"/>
                <w:color w:val="auto"/>
                <w:kern w:val="0"/>
                <w:sz w:val="24"/>
              </w:rPr>
              <w:t>（亿元）</w:t>
            </w:r>
          </w:p>
        </w:tc>
      </w:tr>
      <w:tr>
        <w:tblPrEx>
          <w:tblCellMar>
            <w:top w:w="0" w:type="dxa"/>
            <w:left w:w="108" w:type="dxa"/>
            <w:bottom w:w="0" w:type="dxa"/>
            <w:right w:w="108" w:type="dxa"/>
          </w:tblCellMar>
        </w:tblPrEx>
        <w:trPr>
          <w:trHeight w:val="429"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sz w:val="24"/>
              </w:rPr>
            </w:pPr>
            <w:r>
              <w:rPr>
                <w:rFonts w:hint="eastAsia" w:ascii="黑体" w:hAnsi="宋体" w:eastAsia="黑体"/>
                <w:color w:val="auto"/>
                <w:kern w:val="0"/>
                <w:sz w:val="24"/>
              </w:rPr>
              <w:t>全  市</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90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50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125</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84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28</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100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100</w:t>
            </w:r>
          </w:p>
        </w:tc>
      </w:tr>
      <w:tr>
        <w:tblPrEx>
          <w:tblCellMar>
            <w:top w:w="0" w:type="dxa"/>
            <w:left w:w="108" w:type="dxa"/>
            <w:bottom w:w="0" w:type="dxa"/>
            <w:right w:w="108" w:type="dxa"/>
          </w:tblCellMar>
        </w:tblPrEx>
        <w:trPr>
          <w:trHeight w:val="429"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sz w:val="24"/>
              </w:rPr>
            </w:pPr>
            <w:r>
              <w:rPr>
                <w:rFonts w:hint="eastAsia" w:ascii="黑体" w:hAnsi="宋体" w:eastAsia="黑体"/>
                <w:color w:val="auto"/>
                <w:kern w:val="0"/>
                <w:sz w:val="24"/>
              </w:rPr>
              <w:t>三元区</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6</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15</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14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14</w:t>
            </w:r>
          </w:p>
        </w:tc>
      </w:tr>
      <w:tr>
        <w:tblPrEx>
          <w:tblCellMar>
            <w:top w:w="0" w:type="dxa"/>
            <w:left w:w="108" w:type="dxa"/>
            <w:bottom w:w="0" w:type="dxa"/>
            <w:right w:w="108" w:type="dxa"/>
          </w:tblCellMar>
        </w:tblPrEx>
        <w:trPr>
          <w:trHeight w:val="429"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sz w:val="24"/>
              </w:rPr>
            </w:pPr>
            <w:r>
              <w:rPr>
                <w:rFonts w:hint="eastAsia" w:ascii="黑体" w:hAnsi="宋体" w:eastAsia="黑体"/>
                <w:color w:val="auto"/>
                <w:kern w:val="0"/>
                <w:sz w:val="24"/>
              </w:rPr>
              <w:t>沙县区</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6</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15</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13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13</w:t>
            </w:r>
          </w:p>
        </w:tc>
      </w:tr>
      <w:tr>
        <w:tblPrEx>
          <w:tblCellMar>
            <w:top w:w="0" w:type="dxa"/>
            <w:left w:w="108" w:type="dxa"/>
            <w:bottom w:w="0" w:type="dxa"/>
            <w:right w:w="108" w:type="dxa"/>
          </w:tblCellMar>
        </w:tblPrEx>
        <w:trPr>
          <w:trHeight w:val="429"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sz w:val="24"/>
              </w:rPr>
            </w:pPr>
            <w:r>
              <w:rPr>
                <w:rFonts w:hint="eastAsia" w:ascii="黑体" w:hAnsi="宋体" w:eastAsia="黑体"/>
                <w:color w:val="auto"/>
                <w:kern w:val="0"/>
                <w:sz w:val="24"/>
              </w:rPr>
              <w:t>永安市</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6</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15</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13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13</w:t>
            </w:r>
          </w:p>
        </w:tc>
      </w:tr>
      <w:tr>
        <w:tblPrEx>
          <w:tblCellMar>
            <w:top w:w="0" w:type="dxa"/>
            <w:left w:w="108" w:type="dxa"/>
            <w:bottom w:w="0" w:type="dxa"/>
            <w:right w:w="108" w:type="dxa"/>
          </w:tblCellMar>
        </w:tblPrEx>
        <w:trPr>
          <w:trHeight w:val="429"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sz w:val="24"/>
              </w:rPr>
            </w:pPr>
            <w:r>
              <w:rPr>
                <w:rFonts w:hint="eastAsia" w:ascii="黑体" w:hAnsi="宋体" w:eastAsia="黑体"/>
                <w:color w:val="auto"/>
                <w:kern w:val="0"/>
                <w:sz w:val="24"/>
              </w:rPr>
              <w:t>明溪县</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7</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6</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7</w:t>
            </w:r>
          </w:p>
        </w:tc>
      </w:tr>
      <w:tr>
        <w:tblPrEx>
          <w:tblCellMar>
            <w:top w:w="0" w:type="dxa"/>
            <w:left w:w="108" w:type="dxa"/>
            <w:bottom w:w="0" w:type="dxa"/>
            <w:right w:w="108" w:type="dxa"/>
          </w:tblCellMar>
        </w:tblPrEx>
        <w:trPr>
          <w:trHeight w:val="429"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sz w:val="24"/>
              </w:rPr>
            </w:pPr>
            <w:r>
              <w:rPr>
                <w:rFonts w:hint="eastAsia" w:ascii="黑体" w:hAnsi="宋体" w:eastAsia="黑体"/>
                <w:color w:val="auto"/>
                <w:kern w:val="0"/>
                <w:sz w:val="24"/>
              </w:rPr>
              <w:t>清流县</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7</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6</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7</w:t>
            </w:r>
          </w:p>
        </w:tc>
      </w:tr>
      <w:tr>
        <w:tblPrEx>
          <w:tblCellMar>
            <w:top w:w="0" w:type="dxa"/>
            <w:left w:w="108" w:type="dxa"/>
            <w:bottom w:w="0" w:type="dxa"/>
            <w:right w:w="108" w:type="dxa"/>
          </w:tblCellMar>
        </w:tblPrEx>
        <w:trPr>
          <w:trHeight w:val="429"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sz w:val="24"/>
              </w:rPr>
            </w:pPr>
            <w:r>
              <w:rPr>
                <w:rFonts w:hint="eastAsia" w:ascii="黑体" w:hAnsi="宋体" w:eastAsia="黑体"/>
                <w:color w:val="auto"/>
                <w:kern w:val="0"/>
                <w:sz w:val="24"/>
              </w:rPr>
              <w:t>宁化县</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8</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6</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8</w:t>
            </w:r>
          </w:p>
        </w:tc>
      </w:tr>
      <w:tr>
        <w:tblPrEx>
          <w:tblCellMar>
            <w:top w:w="0" w:type="dxa"/>
            <w:left w:w="108" w:type="dxa"/>
            <w:bottom w:w="0" w:type="dxa"/>
            <w:right w:w="108" w:type="dxa"/>
          </w:tblCellMar>
        </w:tblPrEx>
        <w:trPr>
          <w:trHeight w:val="41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sz w:val="24"/>
              </w:rPr>
            </w:pPr>
            <w:r>
              <w:rPr>
                <w:rFonts w:hint="eastAsia" w:ascii="黑体" w:hAnsi="宋体" w:eastAsia="黑体"/>
                <w:color w:val="auto"/>
                <w:kern w:val="0"/>
                <w:sz w:val="24"/>
              </w:rPr>
              <w:t>建宁县</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7</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6</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7</w:t>
            </w:r>
          </w:p>
        </w:tc>
      </w:tr>
      <w:tr>
        <w:tblPrEx>
          <w:tblCellMar>
            <w:top w:w="0" w:type="dxa"/>
            <w:left w:w="108" w:type="dxa"/>
            <w:bottom w:w="0" w:type="dxa"/>
            <w:right w:w="108" w:type="dxa"/>
          </w:tblCellMar>
        </w:tblPrEx>
        <w:trPr>
          <w:trHeight w:val="429"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sz w:val="24"/>
              </w:rPr>
            </w:pPr>
            <w:r>
              <w:rPr>
                <w:rFonts w:hint="eastAsia" w:ascii="黑体" w:hAnsi="宋体" w:eastAsia="黑体"/>
                <w:color w:val="auto"/>
                <w:kern w:val="0"/>
                <w:sz w:val="24"/>
              </w:rPr>
              <w:t>泰宁县</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7</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6</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7</w:t>
            </w:r>
          </w:p>
        </w:tc>
      </w:tr>
      <w:tr>
        <w:tblPrEx>
          <w:tblCellMar>
            <w:top w:w="0" w:type="dxa"/>
            <w:left w:w="108" w:type="dxa"/>
            <w:bottom w:w="0" w:type="dxa"/>
            <w:right w:w="108" w:type="dxa"/>
          </w:tblCellMar>
        </w:tblPrEx>
        <w:trPr>
          <w:trHeight w:val="429"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sz w:val="24"/>
              </w:rPr>
            </w:pPr>
            <w:r>
              <w:rPr>
                <w:rFonts w:hint="eastAsia" w:ascii="黑体" w:hAnsi="宋体" w:eastAsia="黑体"/>
                <w:color w:val="auto"/>
                <w:kern w:val="0"/>
                <w:sz w:val="24"/>
              </w:rPr>
              <w:t>将乐县</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8</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8</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8</w:t>
            </w:r>
          </w:p>
        </w:tc>
      </w:tr>
      <w:tr>
        <w:tblPrEx>
          <w:tblCellMar>
            <w:top w:w="0" w:type="dxa"/>
            <w:left w:w="108" w:type="dxa"/>
            <w:bottom w:w="0" w:type="dxa"/>
            <w:right w:w="108" w:type="dxa"/>
          </w:tblCellMar>
        </w:tblPrEx>
        <w:trPr>
          <w:trHeight w:val="429"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sz w:val="24"/>
              </w:rPr>
            </w:pPr>
            <w:r>
              <w:rPr>
                <w:rFonts w:hint="eastAsia" w:ascii="黑体" w:hAnsi="宋体" w:eastAsia="黑体"/>
                <w:color w:val="auto"/>
                <w:kern w:val="0"/>
                <w:sz w:val="24"/>
              </w:rPr>
              <w:t>尤溪县</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8</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8</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8</w:t>
            </w:r>
          </w:p>
        </w:tc>
      </w:tr>
      <w:tr>
        <w:tblPrEx>
          <w:tblCellMar>
            <w:top w:w="0" w:type="dxa"/>
            <w:left w:w="108" w:type="dxa"/>
            <w:bottom w:w="0" w:type="dxa"/>
            <w:right w:w="108" w:type="dxa"/>
          </w:tblCellMar>
        </w:tblPrEx>
        <w:trPr>
          <w:trHeight w:val="429"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olor w:val="auto"/>
                <w:sz w:val="24"/>
              </w:rPr>
            </w:pPr>
            <w:r>
              <w:rPr>
                <w:rFonts w:hint="eastAsia" w:ascii="黑体" w:hAnsi="宋体" w:eastAsia="黑体"/>
                <w:color w:val="auto"/>
                <w:kern w:val="0"/>
                <w:sz w:val="24"/>
              </w:rPr>
              <w:t>大田县</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8</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8</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8</w:t>
            </w:r>
          </w:p>
        </w:tc>
      </w:tr>
    </w:tbl>
    <w:p>
      <w:pPr>
        <w:pStyle w:val="6"/>
        <w:spacing w:before="0" w:beforeAutospacing="0" w:after="0" w:afterAutospacing="0" w:line="600" w:lineRule="exact"/>
        <w:rPr>
          <w:rFonts w:hint="default"/>
          <w:color w:val="auto"/>
        </w:rPr>
        <w:sectPr>
          <w:pgSz w:w="16838" w:h="11906" w:orient="landscape"/>
          <w:pgMar w:top="1531" w:right="2098" w:bottom="1531" w:left="1984" w:header="851" w:footer="992" w:gutter="0"/>
          <w:cols w:space="0" w:num="1"/>
          <w:docGrid w:type="lines" w:linePitch="315" w:charSpace="0"/>
        </w:sectPr>
      </w:pPr>
    </w:p>
    <w:p>
      <w:pPr>
        <w:widowControl/>
        <w:spacing w:line="600" w:lineRule="exact"/>
        <w:rPr>
          <w:rFonts w:ascii="仿宋_GB2312" w:hAnsi="仿宋_GB2312" w:eastAsia="仿宋_GB2312" w:cs="仿宋_GB2312"/>
          <w:color w:val="auto"/>
          <w:kern w:val="0"/>
          <w:sz w:val="30"/>
          <w:szCs w:val="30"/>
        </w:rPr>
      </w:pPr>
    </w:p>
    <w:sectPr>
      <w:pgSz w:w="11906" w:h="16838"/>
      <w:pgMar w:top="2098" w:right="1531" w:bottom="1984"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13</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rect id="4097"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5dblS0AAAAAUBAAAPAAAAAAAAAAEAIAAAACIAAABkcnMvZG93&#10;bnJldi54bWxQSwECFAAUAAAACACHTuJA2Q62q5YBAAA6AwAADgAAAAAAAAABACAAAAAfAQAAZHJz&#10;L2Uyb0RvYy54bWxQSwUGAAAAAAYABgBZAQAAJwU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13</w:t>
                    </w:r>
                    <w:r>
                      <w:rPr>
                        <w:rFonts w:hint="eastAsia" w:ascii="宋体" w:hAnsi="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E5"/>
    <w:rsid w:val="00073BE2"/>
    <w:rsid w:val="00094BD6"/>
    <w:rsid w:val="000D1192"/>
    <w:rsid w:val="002128F5"/>
    <w:rsid w:val="00405AE5"/>
    <w:rsid w:val="0041034F"/>
    <w:rsid w:val="004802D1"/>
    <w:rsid w:val="00563144"/>
    <w:rsid w:val="006956F6"/>
    <w:rsid w:val="006B18EA"/>
    <w:rsid w:val="006D2A42"/>
    <w:rsid w:val="006D5C4F"/>
    <w:rsid w:val="00766712"/>
    <w:rsid w:val="008D06D8"/>
    <w:rsid w:val="008F5C36"/>
    <w:rsid w:val="00976C0F"/>
    <w:rsid w:val="009E6C40"/>
    <w:rsid w:val="00A3321A"/>
    <w:rsid w:val="00A65388"/>
    <w:rsid w:val="00B95527"/>
    <w:rsid w:val="00D36F41"/>
    <w:rsid w:val="00E7374B"/>
    <w:rsid w:val="00E77140"/>
    <w:rsid w:val="00E90A6A"/>
    <w:rsid w:val="00FC5FF4"/>
    <w:rsid w:val="0280493D"/>
    <w:rsid w:val="0284715A"/>
    <w:rsid w:val="047D30CB"/>
    <w:rsid w:val="0B51247E"/>
    <w:rsid w:val="149E6A18"/>
    <w:rsid w:val="1BA01D74"/>
    <w:rsid w:val="26B25ED1"/>
    <w:rsid w:val="2FAB0126"/>
    <w:rsid w:val="3B345F5C"/>
    <w:rsid w:val="498E7B5C"/>
    <w:rsid w:val="55F40CEB"/>
    <w:rsid w:val="587C691C"/>
    <w:rsid w:val="63591F82"/>
    <w:rsid w:val="67B679DC"/>
    <w:rsid w:val="6A6A6E00"/>
    <w:rsid w:val="773F30A5"/>
    <w:rsid w:val="77E21DE9"/>
    <w:rsid w:val="78F03F48"/>
    <w:rsid w:val="7B952E85"/>
    <w:rsid w:val="7F1717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6">
    <w:name w:val="heading 3"/>
    <w:basedOn w:val="1"/>
    <w:next w:val="1"/>
    <w:qFormat/>
    <w:uiPriority w:val="9"/>
    <w:pPr>
      <w:spacing w:before="100" w:beforeAutospacing="1" w:after="100" w:afterAutospacing="1"/>
      <w:jc w:val="left"/>
      <w:outlineLvl w:val="2"/>
    </w:pPr>
    <w:rPr>
      <w:rFonts w:hint="eastAsia" w:ascii="宋体" w:hAnsi="宋体" w:cs="宋体"/>
      <w:b/>
      <w:kern w:val="0"/>
      <w:sz w:val="27"/>
      <w:szCs w:val="27"/>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ind w:firstLine="420" w:firstLineChars="200"/>
    </w:pPr>
  </w:style>
  <w:style w:type="paragraph" w:styleId="3">
    <w:name w:val="Body Text Indent"/>
    <w:basedOn w:val="1"/>
    <w:next w:val="2"/>
    <w:qFormat/>
    <w:uiPriority w:val="99"/>
    <w:pPr>
      <w:ind w:firstLine="585"/>
    </w:pPr>
    <w:rPr>
      <w:rFonts w:ascii="仿宋_GB2312"/>
    </w:rPr>
  </w:style>
  <w:style w:type="paragraph" w:styleId="4">
    <w:name w:val="index 6"/>
    <w:basedOn w:val="1"/>
    <w:next w:val="1"/>
    <w:qFormat/>
    <w:uiPriority w:val="0"/>
    <w:pPr>
      <w:ind w:left="2100"/>
    </w:pPr>
    <w:rPr>
      <w:rFonts w:ascii="Times New Roman" w:hAnsi="Times New Roman" w:eastAsia="方正小标宋_GBK" w:cs="Times New Roman"/>
    </w:rPr>
  </w:style>
  <w:style w:type="paragraph" w:styleId="7">
    <w:name w:val="Normal Indent"/>
    <w:basedOn w:val="1"/>
    <w:qFormat/>
    <w:uiPriority w:val="99"/>
    <w:pPr>
      <w:ind w:firstLine="420" w:firstLineChars="200"/>
    </w:pPr>
  </w:style>
  <w:style w:type="paragraph" w:styleId="8">
    <w:name w:val="Body Text"/>
    <w:basedOn w:val="1"/>
    <w:next w:val="1"/>
    <w:qFormat/>
    <w:uiPriority w:val="99"/>
    <w:pPr>
      <w:widowControl/>
      <w:adjustRightInd w:val="0"/>
      <w:snapToGrid w:val="0"/>
      <w:spacing w:after="120"/>
      <w:jc w:val="left"/>
    </w:pPr>
    <w:rPr>
      <w:rFonts w:ascii="Tahoma" w:hAnsi="Tahoma" w:eastAsia="微软雅黑"/>
      <w:kern w:val="0"/>
      <w:sz w:val="22"/>
      <w:szCs w:val="22"/>
    </w:rPr>
  </w:style>
  <w:style w:type="paragraph" w:styleId="9">
    <w:name w:val="Plain Text"/>
    <w:basedOn w:val="1"/>
    <w:qFormat/>
    <w:uiPriority w:val="99"/>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kern w:val="0"/>
      <w:sz w:val="24"/>
    </w:rPr>
  </w:style>
  <w:style w:type="character" w:styleId="15">
    <w:name w:val="FollowedHyperlink"/>
    <w:basedOn w:val="14"/>
    <w:qFormat/>
    <w:uiPriority w:val="0"/>
    <w:rPr>
      <w:color w:val="800080"/>
      <w:u w:val="none"/>
    </w:rPr>
  </w:style>
  <w:style w:type="character" w:styleId="16">
    <w:name w:val="Emphasis"/>
    <w:basedOn w:val="14"/>
    <w:qFormat/>
    <w:uiPriority w:val="0"/>
    <w:rPr>
      <w:i/>
    </w:rPr>
  </w:style>
  <w:style w:type="character" w:styleId="17">
    <w:name w:val="Hyperlink"/>
    <w:basedOn w:val="14"/>
    <w:qFormat/>
    <w:uiPriority w:val="0"/>
    <w:rPr>
      <w:color w:val="0000FF"/>
      <w:u w:val="none"/>
    </w:rPr>
  </w:style>
  <w:style w:type="paragraph" w:customStyle="1" w:styleId="18">
    <w:name w:val="UserStyle_0"/>
    <w:basedOn w:val="19"/>
    <w:next w:val="1"/>
    <w:qFormat/>
    <w:uiPriority w:val="0"/>
    <w:pPr>
      <w:spacing w:after="160" w:line="240" w:lineRule="exact"/>
      <w:jc w:val="left"/>
    </w:pPr>
    <w:rPr>
      <w:rFonts w:ascii="Verdana" w:hAnsi="Verdana"/>
      <w:kern w:val="0"/>
      <w:sz w:val="32"/>
      <w:szCs w:val="20"/>
      <w:lang w:eastAsia="en-US"/>
    </w:rPr>
  </w:style>
  <w:style w:type="paragraph" w:customStyle="1" w:styleId="19">
    <w:name w:val="UserStyle_1"/>
    <w:basedOn w:val="1"/>
    <w:next w:val="1"/>
    <w:qFormat/>
    <w:uiPriority w:val="0"/>
    <w:pPr>
      <w:spacing w:after="120"/>
      <w:ind w:left="200" w:leftChars="200"/>
      <w:textAlignment w:val="baseline"/>
    </w:pPr>
  </w:style>
  <w:style w:type="paragraph" w:customStyle="1" w:styleId="20">
    <w:name w:val="新正文"/>
    <w:basedOn w:val="9"/>
    <w:qFormat/>
    <w:uiPriority w:val="99"/>
    <w:pPr>
      <w:ind w:firstLine="200" w:firstLineChars="200"/>
    </w:pPr>
    <w:rPr>
      <w:rFonts w:ascii="仿宋_GB2312"/>
    </w:rPr>
  </w:style>
  <w:style w:type="paragraph" w:customStyle="1" w:styleId="21">
    <w:name w:val="No Spacing_6e1af918-abd5-4eb5-b9f8-c0ff4157bb46"/>
    <w:qFormat/>
    <w:uiPriority w:val="99"/>
    <w:pPr>
      <w:adjustRightInd w:val="0"/>
      <w:snapToGrid w:val="0"/>
    </w:pPr>
    <w:rPr>
      <w:rFonts w:ascii="Tahoma" w:hAnsi="Tahoma" w:eastAsia="微软雅黑" w:cs="Times New Roman"/>
      <w:sz w:val="22"/>
      <w:szCs w:val="22"/>
      <w:lang w:val="en-US" w:eastAsia="zh-CN" w:bidi="ar-SA"/>
    </w:rPr>
  </w:style>
  <w:style w:type="paragraph" w:customStyle="1" w:styleId="22">
    <w:name w:val="No Spacing_1a4bcd68-8c7f-4d9c-9ace-669c8ae9997e"/>
    <w:qFormat/>
    <w:uiPriority w:val="99"/>
    <w:pPr>
      <w:adjustRightInd w:val="0"/>
      <w:snapToGrid w:val="0"/>
    </w:pPr>
    <w:rPr>
      <w:rFonts w:ascii="Tahoma" w:hAnsi="Tahoma" w:eastAsia="微软雅黑" w:cs="Times New Roman"/>
      <w:sz w:val="22"/>
      <w:szCs w:val="22"/>
      <w:lang w:val="en-US" w:eastAsia="zh-CN" w:bidi="ar-SA"/>
    </w:rPr>
  </w:style>
  <w:style w:type="paragraph" w:customStyle="1" w:styleId="23">
    <w:name w:val="正文首行缩进 21"/>
    <w:basedOn w:val="24"/>
    <w:qFormat/>
    <w:uiPriority w:val="0"/>
    <w:pPr>
      <w:ind w:firstLine="420"/>
    </w:pPr>
  </w:style>
  <w:style w:type="paragraph" w:customStyle="1" w:styleId="24">
    <w:name w:val="正文文本缩进1"/>
    <w:basedOn w:val="1"/>
    <w:qFormat/>
    <w:uiPriority w:val="0"/>
    <w:pPr>
      <w:spacing w:line="500" w:lineRule="exact"/>
      <w:ind w:firstLine="880" w:firstLineChars="200"/>
    </w:pPr>
  </w:style>
  <w:style w:type="character" w:customStyle="1" w:styleId="25">
    <w:name w:val="NormalCharacter"/>
    <w:qFormat/>
    <w:uiPriority w:val="0"/>
    <w:rPr>
      <w:rFonts w:ascii="Times New Roman" w:hAnsi="Times New Roman" w:eastAsia="宋体" w:cs="Times New Roman"/>
      <w:kern w:val="2"/>
      <w:sz w:val="21"/>
      <w:lang w:val="en-US" w:eastAsia="zh-CN" w:bidi="ar-SA"/>
    </w:rPr>
  </w:style>
  <w:style w:type="character" w:customStyle="1" w:styleId="26">
    <w:name w:val="first-child"/>
    <w:basedOn w:val="14"/>
    <w:qFormat/>
    <w:uiPriority w:val="0"/>
  </w:style>
  <w:style w:type="character" w:customStyle="1" w:styleId="27">
    <w:name w:val="layui-layer-tabnow"/>
    <w:basedOn w:val="14"/>
    <w:qFormat/>
    <w:uiPriority w:val="0"/>
    <w:rPr>
      <w:bdr w:val="single" w:color="CCCCCC" w:sz="6" w:space="0"/>
      <w:shd w:val="clear" w:color="010000"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989</Words>
  <Characters>5638</Characters>
  <Lines>46</Lines>
  <Paragraphs>13</Paragraphs>
  <TotalTime>3</TotalTime>
  <ScaleCrop>false</ScaleCrop>
  <LinksUpToDate>false</LinksUpToDate>
  <CharactersWithSpaces>6614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2022-04-05T06:28:00Z</dcterms:created>
  <dc:creator>心悦</dc:creator>
  <cp:lastModifiedBy>miffy兔子</cp:lastModifiedBy>
  <cp:lastPrinted>2022-04-07T01:00:12Z</cp:lastPrinted>
  <dcterms:modified xsi:type="dcterms:W3CDTF">2022-04-07T01:52:51Z</dcterms:modified>
  <dc:title>三明市推进第三产业加快发展行动计划（2022-2025年）</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DD9F257430EC4E9FAA9AAAD3B044349D</vt:lpwstr>
  </property>
</Properties>
</file>