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31" w:lineRule="auto"/>
        <w:rPr>
          <w:rFonts w:ascii="Arial"/>
          <w:sz w:val="21"/>
        </w:rPr>
      </w:pPr>
      <w:bookmarkStart w:id="0" w:name="_GoBack"/>
      <w:bookmarkEnd w:id="0"/>
    </w:p>
    <w:p>
      <w:pPr>
        <w:spacing w:before="100" w:line="227" w:lineRule="auto"/>
        <w:rPr>
          <w:rFonts w:ascii="黑体" w:hAnsi="黑体" w:eastAsia="黑体" w:cs="黑体"/>
          <w:sz w:val="31"/>
          <w:szCs w:val="31"/>
          <w:lang w:eastAsia="zh-CN"/>
        </w:rPr>
      </w:pPr>
      <w:r>
        <w:rPr>
          <w:rFonts w:ascii="黑体" w:hAnsi="黑体" w:eastAsia="黑体" w:cs="黑体"/>
          <w:spacing w:val="-4"/>
          <w:sz w:val="31"/>
          <w:szCs w:val="31"/>
          <w:lang w:eastAsia="zh-CN"/>
        </w:rPr>
        <w:t>附件1</w:t>
      </w:r>
    </w:p>
    <w:p>
      <w:pPr>
        <w:spacing w:line="431" w:lineRule="auto"/>
        <w:rPr>
          <w:lang w:eastAsia="zh-CN"/>
        </w:rPr>
      </w:pPr>
    </w:p>
    <w:p>
      <w:pPr>
        <w:spacing w:before="185" w:line="167" w:lineRule="auto"/>
        <w:jc w:val="center"/>
        <w:outlineLvl w:val="0"/>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10"/>
          <w:sz w:val="44"/>
          <w:szCs w:val="44"/>
          <w:lang w:eastAsia="zh-CN"/>
        </w:rPr>
        <w:t>三明市涉企收费长效监管重点任务分工</w:t>
      </w:r>
    </w:p>
    <w:tbl>
      <w:tblPr>
        <w:tblStyle w:val="8"/>
        <w:tblW w:w="14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73"/>
        <w:gridCol w:w="8621"/>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tblHeader/>
          <w:jc w:val="center"/>
        </w:trPr>
        <w:tc>
          <w:tcPr>
            <w:tcW w:w="2873" w:type="dxa"/>
            <w:vAlign w:val="center"/>
          </w:tcPr>
          <w:p>
            <w:pPr>
              <w:keepNext w:val="0"/>
              <w:keepLines w:val="0"/>
              <w:pageBreakBefore w:val="0"/>
              <w:widowControl/>
              <w:kinsoku w:val="0"/>
              <w:wordWrap/>
              <w:overflowPunct/>
              <w:topLinePunct w:val="0"/>
              <w:autoSpaceDE w:val="0"/>
              <w:autoSpaceDN w:val="0"/>
              <w:bidi w:val="0"/>
              <w:adjustRightInd w:val="0"/>
              <w:snapToGrid w:val="0"/>
              <w:spacing w:line="213" w:lineRule="auto"/>
              <w:ind w:left="0" w:right="0"/>
              <w:jc w:val="center"/>
              <w:textAlignment w:val="baseline"/>
              <w:rPr>
                <w:rFonts w:ascii="黑体" w:hAnsi="黑体" w:eastAsia="黑体" w:cs="黑体"/>
                <w:sz w:val="28"/>
                <w:szCs w:val="28"/>
              </w:rPr>
            </w:pPr>
            <w:r>
              <w:rPr>
                <w:rFonts w:hint="eastAsia" w:ascii="黑体" w:hAnsi="黑体" w:eastAsia="黑体" w:cs="黑体"/>
                <w:spacing w:val="4"/>
                <w:sz w:val="28"/>
                <w:szCs w:val="28"/>
                <w:lang w:eastAsia="zh-CN"/>
              </w:rPr>
              <w:t>工作</w:t>
            </w:r>
            <w:r>
              <w:rPr>
                <w:rFonts w:ascii="黑体" w:hAnsi="黑体" w:eastAsia="黑体" w:cs="黑体"/>
                <w:spacing w:val="4"/>
                <w:sz w:val="28"/>
                <w:szCs w:val="28"/>
              </w:rPr>
              <w:t>要点</w:t>
            </w:r>
          </w:p>
        </w:tc>
        <w:tc>
          <w:tcPr>
            <w:tcW w:w="8621" w:type="dxa"/>
            <w:vAlign w:val="center"/>
          </w:tcPr>
          <w:p>
            <w:pPr>
              <w:spacing w:before="42" w:line="213" w:lineRule="auto"/>
              <w:jc w:val="center"/>
              <w:rPr>
                <w:rFonts w:ascii="黑体" w:hAnsi="黑体" w:eastAsia="黑体" w:cs="黑体"/>
                <w:sz w:val="28"/>
                <w:szCs w:val="28"/>
              </w:rPr>
            </w:pPr>
            <w:r>
              <w:rPr>
                <w:rFonts w:ascii="黑体" w:hAnsi="黑体" w:eastAsia="黑体" w:cs="黑体"/>
                <w:spacing w:val="7"/>
                <w:sz w:val="28"/>
                <w:szCs w:val="28"/>
              </w:rPr>
              <w:t>任务分工</w:t>
            </w:r>
          </w:p>
        </w:tc>
        <w:tc>
          <w:tcPr>
            <w:tcW w:w="2970" w:type="dxa"/>
            <w:vAlign w:val="center"/>
          </w:tcPr>
          <w:p>
            <w:pPr>
              <w:spacing w:before="42" w:line="213" w:lineRule="auto"/>
              <w:jc w:val="center"/>
              <w:rPr>
                <w:rFonts w:ascii="黑体" w:hAnsi="黑体" w:eastAsia="黑体" w:cs="黑体"/>
                <w:sz w:val="28"/>
                <w:szCs w:val="28"/>
              </w:rPr>
            </w:pPr>
            <w:r>
              <w:rPr>
                <w:rFonts w:ascii="黑体" w:hAnsi="黑体" w:eastAsia="黑体" w:cs="黑体"/>
                <w:spacing w:val="5"/>
                <w:sz w:val="28"/>
                <w:szCs w:val="28"/>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5" w:hRule="atLeast"/>
          <w:jc w:val="center"/>
        </w:trPr>
        <w:tc>
          <w:tcPr>
            <w:tcW w:w="2873" w:type="dxa"/>
            <w:vMerge w:val="restart"/>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5" w:lineRule="auto"/>
              <w:ind w:left="0" w:right="0"/>
              <w:jc w:val="center"/>
              <w:textAlignment w:val="baseline"/>
              <w:rPr>
                <w:sz w:val="28"/>
                <w:szCs w:val="28"/>
                <w:lang w:eastAsia="zh-CN"/>
              </w:rPr>
            </w:pPr>
            <w:r>
              <w:rPr>
                <w:rFonts w:ascii="黑体" w:hAnsi="黑体" w:eastAsia="黑体" w:cs="黑体"/>
                <w:spacing w:val="-3"/>
                <w:sz w:val="28"/>
                <w:szCs w:val="28"/>
                <w:lang w:eastAsia="zh-CN"/>
              </w:rPr>
              <w:t>一、健全涉企收费目录清单制度</w:t>
            </w:r>
          </w:p>
        </w:tc>
        <w:tc>
          <w:tcPr>
            <w:tcW w:w="8621" w:type="dxa"/>
          </w:tcPr>
          <w:p>
            <w:pPr>
              <w:pStyle w:val="9"/>
              <w:spacing w:before="55" w:line="236" w:lineRule="auto"/>
              <w:ind w:left="119" w:right="109" w:hanging="2"/>
              <w:jc w:val="both"/>
              <w:rPr>
                <w:sz w:val="28"/>
                <w:szCs w:val="28"/>
                <w:lang w:eastAsia="zh-CN"/>
              </w:rPr>
            </w:pPr>
            <w:r>
              <w:rPr>
                <w:rFonts w:hint="eastAsia" w:ascii="楷体_GB2312" w:hAnsi="楷体_GB2312" w:eastAsia="楷体_GB2312" w:cs="楷体_GB2312"/>
                <w:b/>
                <w:bCs/>
                <w:sz w:val="28"/>
                <w:szCs w:val="28"/>
                <w:lang w:eastAsia="zh-CN"/>
              </w:rPr>
              <w:t>（一）健全专项目录清单。</w:t>
            </w:r>
            <w:r>
              <w:rPr>
                <w:rFonts w:hint="eastAsia" w:ascii="仿宋_GB2312" w:hAnsi="仿宋_GB2312" w:eastAsia="仿宋_GB2312" w:cs="仿宋_GB2312"/>
                <w:sz w:val="28"/>
                <w:szCs w:val="28"/>
                <w:lang w:eastAsia="zh-CN"/>
              </w:rPr>
              <w:t>发改、财政部门分别负责政府定价的经营服务性收费、行政事业性收费等收费目录清单的制定工作。涉企保证金和政府性基金执行国家和省制定的目录清单。</w:t>
            </w:r>
          </w:p>
        </w:tc>
        <w:tc>
          <w:tcPr>
            <w:tcW w:w="2970" w:type="dxa"/>
            <w:vAlign w:val="center"/>
          </w:tcPr>
          <w:p>
            <w:pPr>
              <w:pStyle w:val="9"/>
              <w:spacing w:before="98" w:line="218" w:lineRule="auto"/>
              <w:ind w:firstLine="140" w:firstLineChars="50"/>
              <w:jc w:val="center"/>
              <w:rPr>
                <w:sz w:val="28"/>
                <w:szCs w:val="28"/>
                <w:lang w:eastAsia="zh-CN"/>
              </w:rPr>
            </w:pPr>
            <w:r>
              <w:rPr>
                <w:rFonts w:hint="eastAsia" w:ascii="仿宋_GB2312" w:hAnsi="仿宋_GB2312" w:eastAsia="仿宋_GB2312" w:cs="仿宋_GB2312"/>
                <w:sz w:val="28"/>
                <w:szCs w:val="28"/>
                <w:lang w:eastAsia="zh-CN"/>
              </w:rPr>
              <w:t>市发改委、市财政局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2873" w:type="dxa"/>
            <w:vMerge w:val="continue"/>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sz w:val="28"/>
                <w:szCs w:val="28"/>
                <w:lang w:eastAsia="zh-CN"/>
              </w:rPr>
            </w:pPr>
          </w:p>
        </w:tc>
        <w:tc>
          <w:tcPr>
            <w:tcW w:w="8621" w:type="dxa"/>
          </w:tcPr>
          <w:p>
            <w:pPr>
              <w:pStyle w:val="9"/>
              <w:spacing w:before="134" w:line="247" w:lineRule="auto"/>
              <w:ind w:left="118" w:right="109" w:hanging="1"/>
              <w:rPr>
                <w:sz w:val="28"/>
                <w:szCs w:val="28"/>
                <w:lang w:eastAsia="zh-CN"/>
              </w:rPr>
            </w:pPr>
            <w:r>
              <w:rPr>
                <w:rFonts w:hint="eastAsia" w:ascii="楷体_GB2312" w:hAnsi="楷体_GB2312" w:eastAsia="楷体_GB2312" w:cs="楷体_GB2312"/>
                <w:b/>
                <w:bCs/>
                <w:sz w:val="28"/>
                <w:szCs w:val="28"/>
                <w:lang w:eastAsia="zh-CN"/>
              </w:rPr>
              <w:t>（二）健全涉企收费综合性目录清单。</w:t>
            </w:r>
            <w:r>
              <w:rPr>
                <w:rFonts w:hint="eastAsia" w:ascii="仿宋_GB2312" w:hAnsi="仿宋_GB2312" w:eastAsia="仿宋_GB2312" w:cs="仿宋_GB2312"/>
                <w:sz w:val="28"/>
                <w:szCs w:val="28"/>
                <w:lang w:eastAsia="zh-CN"/>
              </w:rPr>
              <w:t>各部门严格对照法律法规和相关政策要求，建立涵盖部门及下属单位（含企业）本级所有涉企收费项目的综合性目录清单，包括行政事业性收费、政府性基金、涉企保证金、政府定价的经营服务性收费、实行市场调节价的经营服务性收费等收费项目，实现每个部门涉企收费一张目录清单全覆盖，清单之外一律不得收费。</w:t>
            </w:r>
          </w:p>
        </w:tc>
        <w:tc>
          <w:tcPr>
            <w:tcW w:w="2970" w:type="dxa"/>
            <w:vAlign w:val="center"/>
          </w:tcPr>
          <w:p>
            <w:pPr>
              <w:pStyle w:val="9"/>
              <w:spacing w:before="336" w:line="218" w:lineRule="auto"/>
              <w:ind w:left="131"/>
              <w:jc w:val="center"/>
              <w:rPr>
                <w:sz w:val="28"/>
                <w:szCs w:val="28"/>
                <w:lang w:eastAsia="zh-CN"/>
              </w:rPr>
            </w:pPr>
            <w:r>
              <w:rPr>
                <w:rFonts w:hint="eastAsia" w:ascii="仿宋_GB2312" w:hAnsi="仿宋_GB2312" w:eastAsia="仿宋_GB2312" w:cs="仿宋_GB2312"/>
                <w:spacing w:val="-5"/>
                <w:sz w:val="28"/>
                <w:szCs w:val="28"/>
                <w:lang w:eastAsia="zh-CN"/>
              </w:rPr>
              <w:t>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2873" w:type="dxa"/>
            <w:vMerge w:val="restart"/>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18" w:lineRule="auto"/>
              <w:ind w:left="0" w:right="0"/>
              <w:jc w:val="center"/>
              <w:textAlignment w:val="baseline"/>
              <w:rPr>
                <w:sz w:val="28"/>
                <w:szCs w:val="28"/>
                <w:lang w:eastAsia="zh-CN"/>
              </w:rPr>
            </w:pPr>
            <w:r>
              <w:rPr>
                <w:rFonts w:ascii="黑体" w:hAnsi="黑体" w:eastAsia="黑体" w:cs="黑体"/>
                <w:spacing w:val="-1"/>
                <w:sz w:val="28"/>
                <w:szCs w:val="28"/>
                <w:lang w:eastAsia="zh-CN"/>
              </w:rPr>
              <w:t>二、完善涉企收费政策评估审核工作机制</w:t>
            </w:r>
          </w:p>
        </w:tc>
        <w:tc>
          <w:tcPr>
            <w:tcW w:w="8621" w:type="dxa"/>
          </w:tcPr>
          <w:p>
            <w:pPr>
              <w:pStyle w:val="9"/>
              <w:spacing w:before="63" w:line="232" w:lineRule="auto"/>
              <w:ind w:left="122" w:right="108"/>
              <w:jc w:val="both"/>
              <w:rPr>
                <w:sz w:val="28"/>
                <w:szCs w:val="28"/>
                <w:lang w:eastAsia="zh-CN"/>
              </w:rPr>
            </w:pPr>
            <w:r>
              <w:rPr>
                <w:rFonts w:hint="eastAsia" w:ascii="楷体_GB2312" w:hAnsi="楷体_GB2312" w:eastAsia="楷体_GB2312" w:cs="楷体_GB2312"/>
                <w:b/>
                <w:bCs/>
                <w:sz w:val="28"/>
                <w:szCs w:val="28"/>
                <w:lang w:eastAsia="zh-CN"/>
              </w:rPr>
              <w:t>（三）加强新出台政策合规审查。</w:t>
            </w:r>
            <w:r>
              <w:rPr>
                <w:rFonts w:hint="eastAsia" w:ascii="仿宋_GB2312" w:hAnsi="仿宋_GB2312" w:eastAsia="仿宋_GB2312" w:cs="仿宋_GB2312"/>
                <w:spacing w:val="-5"/>
                <w:sz w:val="28"/>
                <w:szCs w:val="28"/>
                <w:lang w:eastAsia="zh-CN"/>
              </w:rPr>
              <w:t>按规定开展宏观政策取向一致性评估、合法性审核、公平竞争审查等工作，加强对新出台涉企收费政策合法性、公平性以及社会预期影响等方面的评估审核。</w:t>
            </w:r>
          </w:p>
        </w:tc>
        <w:tc>
          <w:tcPr>
            <w:tcW w:w="2970" w:type="dxa"/>
            <w:vAlign w:val="center"/>
          </w:tcPr>
          <w:p>
            <w:pPr>
              <w:pStyle w:val="9"/>
              <w:spacing w:before="61" w:line="218" w:lineRule="auto"/>
              <w:ind w:left="123"/>
              <w:jc w:val="center"/>
              <w:rPr>
                <w:sz w:val="28"/>
                <w:szCs w:val="28"/>
                <w:lang w:eastAsia="zh-CN"/>
              </w:rPr>
            </w:pPr>
            <w:r>
              <w:rPr>
                <w:rFonts w:hint="eastAsia" w:ascii="仿宋_GB2312" w:hAnsi="仿宋_GB2312" w:eastAsia="仿宋_GB2312" w:cs="仿宋_GB2312"/>
                <w:spacing w:val="-5"/>
                <w:sz w:val="28"/>
                <w:szCs w:val="28"/>
                <w:lang w:eastAsia="zh-CN"/>
              </w:rPr>
              <w:t>市发改委、市司法局、市市场监管局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2873" w:type="dxa"/>
            <w:vMerge w:val="continue"/>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sz w:val="28"/>
                <w:szCs w:val="28"/>
                <w:lang w:eastAsia="zh-CN"/>
              </w:rPr>
            </w:pPr>
          </w:p>
        </w:tc>
        <w:tc>
          <w:tcPr>
            <w:tcW w:w="8621" w:type="dxa"/>
          </w:tcPr>
          <w:p>
            <w:pPr>
              <w:pStyle w:val="9"/>
              <w:spacing w:before="63" w:line="232" w:lineRule="auto"/>
              <w:ind w:left="128" w:right="23" w:hanging="15"/>
              <w:jc w:val="both"/>
              <w:rPr>
                <w:sz w:val="28"/>
                <w:szCs w:val="28"/>
                <w:lang w:eastAsia="zh-CN"/>
              </w:rPr>
            </w:pPr>
            <w:r>
              <w:rPr>
                <w:rFonts w:hint="eastAsia" w:ascii="楷体_GB2312" w:hAnsi="楷体_GB2312" w:eastAsia="楷体_GB2312" w:cs="楷体_GB2312"/>
                <w:b/>
                <w:bCs/>
                <w:sz w:val="28"/>
                <w:szCs w:val="28"/>
                <w:lang w:eastAsia="zh-CN"/>
              </w:rPr>
              <w:t>（四）加强收费项目评估论证。</w:t>
            </w:r>
            <w:r>
              <w:rPr>
                <w:rFonts w:hint="eastAsia" w:ascii="仿宋_GB2312" w:hAnsi="仿宋_GB2312" w:eastAsia="仿宋_GB2312" w:cs="仿宋_GB2312"/>
                <w:spacing w:val="-5"/>
                <w:sz w:val="28"/>
                <w:szCs w:val="28"/>
                <w:lang w:eastAsia="zh-CN"/>
              </w:rPr>
              <w:t>行业主管部门及下属单位、行政审批中介服务机构、行业协会商会等要加强涉企收费项目评估论证，严禁违规新设涉企收费项目。</w:t>
            </w:r>
          </w:p>
        </w:tc>
        <w:tc>
          <w:tcPr>
            <w:tcW w:w="2970" w:type="dxa"/>
            <w:vAlign w:val="center"/>
          </w:tcPr>
          <w:p>
            <w:pPr>
              <w:pStyle w:val="9"/>
              <w:spacing w:before="97" w:line="217" w:lineRule="auto"/>
              <w:ind w:firstLine="264" w:firstLineChars="100"/>
              <w:jc w:val="center"/>
              <w:rPr>
                <w:sz w:val="28"/>
                <w:szCs w:val="28"/>
                <w:lang w:eastAsia="zh-CN"/>
              </w:rPr>
            </w:pPr>
            <w:r>
              <w:rPr>
                <w:rFonts w:hint="eastAsia" w:ascii="仿宋_GB2312" w:hAnsi="仿宋_GB2312" w:eastAsia="仿宋_GB2312" w:cs="仿宋_GB2312"/>
                <w:spacing w:val="-8"/>
                <w:sz w:val="28"/>
                <w:szCs w:val="28"/>
                <w:lang w:eastAsia="zh-CN"/>
              </w:rPr>
              <w:t>各行业主管部门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6" w:hRule="atLeast"/>
          <w:jc w:val="center"/>
        </w:trPr>
        <w:tc>
          <w:tcPr>
            <w:tcW w:w="2873" w:type="dxa"/>
            <w:vMerge w:val="restart"/>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6" w:lineRule="auto"/>
              <w:ind w:left="0" w:right="0"/>
              <w:jc w:val="center"/>
              <w:textAlignment w:val="baseline"/>
              <w:rPr>
                <w:sz w:val="28"/>
                <w:szCs w:val="28"/>
                <w:lang w:eastAsia="zh-CN"/>
              </w:rPr>
            </w:pPr>
            <w:r>
              <w:rPr>
                <w:rFonts w:ascii="黑体" w:hAnsi="黑体" w:eastAsia="黑体" w:cs="黑体"/>
                <w:spacing w:val="-1"/>
                <w:sz w:val="28"/>
                <w:szCs w:val="28"/>
                <w:lang w:eastAsia="zh-CN"/>
              </w:rPr>
              <w:t>三、加强涉企收费政策常态化宣传解读</w:t>
            </w:r>
          </w:p>
        </w:tc>
        <w:tc>
          <w:tcPr>
            <w:tcW w:w="8621" w:type="dxa"/>
          </w:tcPr>
          <w:p>
            <w:pPr>
              <w:pStyle w:val="9"/>
              <w:spacing w:before="62" w:line="232" w:lineRule="auto"/>
              <w:ind w:left="118" w:right="109" w:hanging="4"/>
              <w:jc w:val="both"/>
              <w:rPr>
                <w:sz w:val="28"/>
                <w:szCs w:val="28"/>
                <w:lang w:eastAsia="zh-CN"/>
              </w:rPr>
            </w:pPr>
            <w:r>
              <w:rPr>
                <w:rFonts w:hint="eastAsia" w:ascii="楷体_GB2312" w:hAnsi="楷体_GB2312" w:eastAsia="楷体_GB2312" w:cs="楷体_GB2312"/>
                <w:b/>
                <w:bCs/>
                <w:sz w:val="28"/>
                <w:szCs w:val="28"/>
                <w:lang w:eastAsia="zh-CN"/>
              </w:rPr>
              <w:t>（五）做好常态化更新发布工作。</w:t>
            </w:r>
            <w:r>
              <w:rPr>
                <w:rFonts w:hint="eastAsia" w:ascii="仿宋_GB2312" w:hAnsi="仿宋_GB2312" w:eastAsia="仿宋_GB2312" w:cs="仿宋_GB2312"/>
                <w:sz w:val="28"/>
                <w:szCs w:val="28"/>
                <w:lang w:eastAsia="zh-CN"/>
              </w:rPr>
              <w:t>在部门官网常态化更新发布本领域涉企收费政策，通过专家解读等方式加大政策宣传力度。</w:t>
            </w:r>
          </w:p>
        </w:tc>
        <w:tc>
          <w:tcPr>
            <w:tcW w:w="2970" w:type="dxa"/>
            <w:vAlign w:val="center"/>
          </w:tcPr>
          <w:p>
            <w:pPr>
              <w:pStyle w:val="9"/>
              <w:spacing w:before="262" w:line="248" w:lineRule="auto"/>
              <w:ind w:left="117" w:right="96" w:firstLine="14"/>
              <w:jc w:val="center"/>
              <w:rPr>
                <w:rFonts w:ascii="仿宋_GB2312" w:hAnsi="仿宋_GB2312" w:eastAsia="仿宋_GB2312" w:cs="仿宋_GB2312"/>
                <w:sz w:val="28"/>
                <w:szCs w:val="28"/>
                <w:lang w:eastAsia="zh-CN"/>
              </w:rPr>
            </w:pPr>
            <w:r>
              <w:rPr>
                <w:rFonts w:hint="eastAsia" w:ascii="仿宋_GB2312" w:hAnsi="仿宋_GB2312" w:eastAsia="仿宋_GB2312" w:cs="仿宋_GB2312"/>
                <w:spacing w:val="-8"/>
                <w:sz w:val="28"/>
                <w:szCs w:val="28"/>
                <w:lang w:eastAsia="zh-CN"/>
              </w:rPr>
              <w:t>各行业主管部门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87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sz w:val="28"/>
                <w:szCs w:val="28"/>
              </w:rPr>
            </w:pPr>
          </w:p>
        </w:tc>
        <w:tc>
          <w:tcPr>
            <w:tcW w:w="8621" w:type="dxa"/>
          </w:tcPr>
          <w:p>
            <w:pPr>
              <w:pStyle w:val="9"/>
              <w:spacing w:before="67" w:line="239" w:lineRule="auto"/>
              <w:ind w:left="115" w:right="10" w:hanging="4"/>
              <w:jc w:val="both"/>
              <w:rPr>
                <w:sz w:val="28"/>
                <w:szCs w:val="28"/>
              </w:rPr>
            </w:pPr>
            <w:r>
              <w:rPr>
                <w:rFonts w:hint="eastAsia" w:ascii="楷体_GB2312" w:hAnsi="楷体_GB2312" w:eastAsia="楷体_GB2312" w:cs="楷体_GB2312"/>
                <w:b/>
                <w:bCs/>
                <w:sz w:val="28"/>
                <w:szCs w:val="28"/>
                <w:lang w:eastAsia="zh-CN"/>
              </w:rPr>
              <w:t>（六）加大政策宣传解读工作力度。</w:t>
            </w:r>
            <w:r>
              <w:rPr>
                <w:rFonts w:hint="eastAsia" w:ascii="仿宋_GB2312" w:hAnsi="仿宋_GB2312" w:eastAsia="仿宋_GB2312" w:cs="仿宋_GB2312"/>
                <w:spacing w:val="14"/>
                <w:sz w:val="28"/>
                <w:szCs w:val="28"/>
                <w:lang w:eastAsia="zh-CN"/>
              </w:rPr>
              <w:t>充分发挥全市减轻企业负担相关工作机制作用，牵头组织政策宣传周，通过市政府门户网站等平台发布政策及解读。</w:t>
            </w:r>
            <w:r>
              <w:rPr>
                <w:rFonts w:hint="eastAsia" w:ascii="仿宋_GB2312" w:hAnsi="仿宋_GB2312" w:eastAsia="仿宋_GB2312" w:cs="仿宋_GB2312"/>
                <w:spacing w:val="6"/>
                <w:sz w:val="28"/>
                <w:szCs w:val="28"/>
              </w:rPr>
              <w:t>落实</w:t>
            </w:r>
            <w:r>
              <w:rPr>
                <w:rFonts w:hint="eastAsia" w:ascii="仿宋_GB2312" w:hAnsi="仿宋_GB2312" w:eastAsia="仿宋_GB2312" w:cs="仿宋_GB2312"/>
                <w:spacing w:val="4"/>
                <w:sz w:val="28"/>
                <w:szCs w:val="28"/>
              </w:rPr>
              <w:t>重点企业运行监测统计调查制度</w:t>
            </w:r>
            <w:r>
              <w:rPr>
                <w:rFonts w:hint="eastAsia" w:ascii="仿宋_GB2312" w:hAnsi="仿宋_GB2312" w:eastAsia="仿宋_GB2312" w:cs="仿宋_GB2312"/>
                <w:spacing w:val="4"/>
                <w:sz w:val="28"/>
                <w:szCs w:val="28"/>
                <w:lang w:eastAsia="zh-CN"/>
              </w:rPr>
              <w:t>。</w:t>
            </w:r>
          </w:p>
        </w:tc>
        <w:tc>
          <w:tcPr>
            <w:tcW w:w="2970" w:type="dxa"/>
            <w:vAlign w:val="center"/>
          </w:tcPr>
          <w:p>
            <w:pPr>
              <w:pStyle w:val="9"/>
              <w:spacing w:before="97" w:line="248" w:lineRule="auto"/>
              <w:ind w:left="129" w:right="105" w:firstLine="2"/>
              <w:jc w:val="center"/>
              <w:rPr>
                <w:rFonts w:ascii="仿宋_GB2312" w:hAnsi="仿宋_GB2312" w:eastAsia="仿宋_GB2312" w:cs="仿宋_GB2312"/>
                <w:sz w:val="28"/>
                <w:szCs w:val="28"/>
                <w:lang w:eastAsia="zh-CN"/>
              </w:rPr>
            </w:pPr>
            <w:r>
              <w:rPr>
                <w:rFonts w:hint="eastAsia" w:ascii="仿宋_GB2312" w:hAnsi="仿宋_GB2312" w:eastAsia="仿宋_GB2312" w:cs="仿宋_GB2312"/>
                <w:spacing w:val="-22"/>
                <w:sz w:val="28"/>
                <w:szCs w:val="28"/>
                <w:lang w:eastAsia="zh-CN"/>
              </w:rPr>
              <w:t>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8" w:hRule="atLeast"/>
          <w:jc w:val="center"/>
        </w:trPr>
        <w:tc>
          <w:tcPr>
            <w:tcW w:w="287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sz w:val="28"/>
                <w:szCs w:val="28"/>
              </w:rPr>
            </w:pPr>
          </w:p>
        </w:tc>
        <w:tc>
          <w:tcPr>
            <w:tcW w:w="8621" w:type="dxa"/>
          </w:tcPr>
          <w:p>
            <w:pPr>
              <w:pStyle w:val="9"/>
              <w:spacing w:before="67" w:line="239" w:lineRule="auto"/>
              <w:ind w:left="115" w:right="10" w:hanging="4"/>
              <w:jc w:val="both"/>
              <w:rPr>
                <w:b/>
                <w:bCs/>
                <w:spacing w:val="5"/>
                <w:sz w:val="28"/>
                <w:szCs w:val="28"/>
                <w:lang w:eastAsia="zh-CN"/>
              </w:rPr>
            </w:pPr>
            <w:r>
              <w:rPr>
                <w:rFonts w:hint="eastAsia" w:ascii="楷体_GB2312" w:hAnsi="楷体_GB2312" w:eastAsia="楷体_GB2312" w:cs="楷体_GB2312"/>
                <w:b/>
                <w:bCs/>
                <w:sz w:val="28"/>
                <w:szCs w:val="28"/>
                <w:lang w:eastAsia="zh-CN"/>
              </w:rPr>
              <w:t>（七）创新政策宣传解读方式。</w:t>
            </w:r>
            <w:r>
              <w:rPr>
                <w:rFonts w:hint="eastAsia" w:ascii="仿宋_GB2312" w:hAnsi="仿宋_GB2312" w:eastAsia="仿宋_GB2312" w:cs="仿宋_GB2312"/>
                <w:spacing w:val="5"/>
                <w:sz w:val="28"/>
                <w:szCs w:val="28"/>
                <w:lang w:eastAsia="zh-CN"/>
              </w:rPr>
              <w:t>加强“e三明”等平台建设，协同有关部门推动涉企收费清单及政策动态公开。指导各有关部门运用大数据等手段，结合企业办理中介服务等事项，向企业精准推送收费目录指引以及有关解读说明材料，加强监管信息归集共享和关联整合等工作。</w:t>
            </w:r>
          </w:p>
        </w:tc>
        <w:tc>
          <w:tcPr>
            <w:tcW w:w="2970" w:type="dxa"/>
            <w:vAlign w:val="center"/>
          </w:tcPr>
          <w:p>
            <w:pPr>
              <w:pStyle w:val="9"/>
              <w:spacing w:before="97" w:line="248" w:lineRule="auto"/>
              <w:ind w:left="129" w:right="105" w:firstLine="2"/>
              <w:jc w:val="center"/>
              <w:rPr>
                <w:spacing w:val="-22"/>
                <w:sz w:val="28"/>
                <w:szCs w:val="28"/>
                <w:lang w:eastAsia="zh-CN"/>
              </w:rPr>
            </w:pPr>
            <w:r>
              <w:rPr>
                <w:rFonts w:hint="eastAsia" w:ascii="仿宋_GB2312" w:hAnsi="仿宋_GB2312" w:eastAsia="仿宋_GB2312" w:cs="仿宋_GB2312"/>
                <w:spacing w:val="5"/>
                <w:sz w:val="28"/>
                <w:szCs w:val="28"/>
                <w:lang w:eastAsia="zh-CN"/>
              </w:rPr>
              <w:t>市数政中心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3" w:hRule="atLeast"/>
          <w:jc w:val="center"/>
        </w:trPr>
        <w:tc>
          <w:tcPr>
            <w:tcW w:w="287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38" w:lineRule="auto"/>
              <w:ind w:left="0" w:right="0" w:firstLine="16"/>
              <w:jc w:val="center"/>
              <w:textAlignment w:val="baseline"/>
              <w:rPr>
                <w:sz w:val="28"/>
                <w:szCs w:val="28"/>
                <w:lang w:eastAsia="zh-CN"/>
              </w:rPr>
            </w:pPr>
            <w:r>
              <w:rPr>
                <w:rFonts w:ascii="黑体" w:hAnsi="黑体" w:eastAsia="黑体" w:cs="黑体"/>
                <w:spacing w:val="-2"/>
                <w:sz w:val="28"/>
                <w:szCs w:val="28"/>
                <w:lang w:eastAsia="zh-CN"/>
              </w:rPr>
              <w:t>四、健全涉企收费跟踪监测制度</w:t>
            </w:r>
          </w:p>
        </w:tc>
        <w:tc>
          <w:tcPr>
            <w:tcW w:w="8621" w:type="dxa"/>
          </w:tcPr>
          <w:p>
            <w:pPr>
              <w:pStyle w:val="9"/>
              <w:spacing w:before="59" w:line="238" w:lineRule="auto"/>
              <w:ind w:left="116" w:right="10" w:firstLine="7"/>
              <w:jc w:val="both"/>
              <w:rPr>
                <w:sz w:val="28"/>
                <w:szCs w:val="28"/>
                <w:lang w:eastAsia="zh-CN"/>
              </w:rPr>
            </w:pPr>
            <w:r>
              <w:rPr>
                <w:rFonts w:hint="eastAsia" w:ascii="楷体_GB2312" w:hAnsi="楷体_GB2312" w:eastAsia="楷体_GB2312" w:cs="楷体_GB2312"/>
                <w:b/>
                <w:bCs/>
                <w:sz w:val="28"/>
                <w:szCs w:val="28"/>
                <w:lang w:eastAsia="zh-CN"/>
              </w:rPr>
              <w:t>（八）加强日常跟踪监测。</w:t>
            </w:r>
            <w:r>
              <w:rPr>
                <w:rFonts w:hint="eastAsia" w:ascii="仿宋_GB2312" w:hAnsi="仿宋_GB2312" w:eastAsia="仿宋_GB2312" w:cs="仿宋_GB2312"/>
                <w:spacing w:val="6"/>
                <w:sz w:val="28"/>
                <w:szCs w:val="28"/>
                <w:lang w:eastAsia="zh-CN"/>
              </w:rPr>
              <w:t>通过多种方式加强对本领域</w:t>
            </w:r>
            <w:r>
              <w:rPr>
                <w:rFonts w:hint="eastAsia" w:ascii="仿宋_GB2312" w:hAnsi="仿宋_GB2312" w:eastAsia="仿宋_GB2312" w:cs="仿宋_GB2312"/>
                <w:spacing w:val="-6"/>
                <w:sz w:val="28"/>
                <w:szCs w:val="28"/>
                <w:lang w:eastAsia="zh-CN"/>
              </w:rPr>
              <w:t>涉企收费情况的监测，发挥新闻媒体、</w:t>
            </w:r>
            <w:r>
              <w:rPr>
                <w:rFonts w:hint="eastAsia" w:ascii="仿宋_GB2312" w:hAnsi="仿宋_GB2312" w:eastAsia="仿宋_GB2312" w:cs="仿宋_GB2312"/>
                <w:spacing w:val="6"/>
                <w:sz w:val="28"/>
                <w:szCs w:val="28"/>
                <w:lang w:eastAsia="zh-CN"/>
              </w:rPr>
              <w:t>行业协会商会等作用，及时了解涉企收费政策执行情况和企业意见建议，</w:t>
            </w:r>
            <w:r>
              <w:rPr>
                <w:rFonts w:hint="eastAsia" w:ascii="仿宋_GB2312" w:hAnsi="仿宋_GB2312" w:eastAsia="仿宋_GB2312" w:cs="仿宋_GB2312"/>
                <w:spacing w:val="-6"/>
                <w:sz w:val="28"/>
                <w:szCs w:val="28"/>
                <w:lang w:eastAsia="zh-CN"/>
              </w:rPr>
              <w:t>推动解决企业关切的问题。</w:t>
            </w:r>
          </w:p>
        </w:tc>
        <w:tc>
          <w:tcPr>
            <w:tcW w:w="2970" w:type="dxa"/>
            <w:vAlign w:val="center"/>
          </w:tcPr>
          <w:p>
            <w:pPr>
              <w:pStyle w:val="9"/>
              <w:spacing w:before="97" w:line="217" w:lineRule="auto"/>
              <w:ind w:firstLine="146" w:firstLineChars="50"/>
              <w:jc w:val="center"/>
              <w:rPr>
                <w:sz w:val="28"/>
                <w:szCs w:val="28"/>
                <w:lang w:eastAsia="zh-CN"/>
              </w:rPr>
            </w:pPr>
            <w:r>
              <w:rPr>
                <w:rFonts w:hint="eastAsia" w:ascii="仿宋_GB2312" w:hAnsi="仿宋_GB2312" w:eastAsia="仿宋_GB2312" w:cs="仿宋_GB2312"/>
                <w:spacing w:val="6"/>
                <w:sz w:val="28"/>
                <w:szCs w:val="28"/>
                <w:lang w:eastAsia="zh-CN"/>
              </w:rPr>
              <w:t>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8" w:hRule="atLeast"/>
          <w:jc w:val="center"/>
        </w:trPr>
        <w:tc>
          <w:tcPr>
            <w:tcW w:w="2873" w:type="dxa"/>
            <w:vMerge w:val="restart"/>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7" w:lineRule="auto"/>
              <w:ind w:left="0" w:right="0" w:firstLine="18"/>
              <w:jc w:val="center"/>
              <w:textAlignment w:val="baseline"/>
              <w:rPr>
                <w:sz w:val="28"/>
                <w:szCs w:val="28"/>
                <w:lang w:eastAsia="zh-CN"/>
              </w:rPr>
            </w:pPr>
            <w:r>
              <w:rPr>
                <w:rFonts w:ascii="黑体" w:hAnsi="黑体" w:eastAsia="黑体" w:cs="黑体"/>
                <w:spacing w:val="-1"/>
                <w:sz w:val="28"/>
                <w:szCs w:val="28"/>
                <w:lang w:eastAsia="zh-CN"/>
              </w:rPr>
              <w:t>五、</w:t>
            </w:r>
            <w:r>
              <w:rPr>
                <w:rFonts w:ascii="黑体" w:hAnsi="黑体" w:eastAsia="黑体" w:cs="黑体"/>
                <w:spacing w:val="-17"/>
                <w:sz w:val="28"/>
                <w:szCs w:val="28"/>
                <w:lang w:eastAsia="zh-CN"/>
              </w:rPr>
              <w:t>健全涉企收费问题线索收集和处理机制</w:t>
            </w:r>
          </w:p>
        </w:tc>
        <w:tc>
          <w:tcPr>
            <w:tcW w:w="8621" w:type="dxa"/>
          </w:tcPr>
          <w:p>
            <w:pPr>
              <w:pStyle w:val="9"/>
              <w:spacing w:before="61" w:line="238" w:lineRule="auto"/>
              <w:ind w:left="122" w:right="108" w:hanging="9"/>
              <w:jc w:val="both"/>
              <w:rPr>
                <w:sz w:val="28"/>
                <w:szCs w:val="28"/>
                <w:lang w:eastAsia="zh-CN"/>
              </w:rPr>
            </w:pPr>
            <w:r>
              <w:rPr>
                <w:rFonts w:hint="eastAsia" w:ascii="楷体_GB2312" w:hAnsi="楷体_GB2312" w:eastAsia="楷体_GB2312" w:cs="楷体_GB2312"/>
                <w:b/>
                <w:bCs/>
                <w:sz w:val="28"/>
                <w:szCs w:val="28"/>
                <w:lang w:eastAsia="zh-CN"/>
              </w:rPr>
              <w:t>（九）健全问题线索收集机制。</w:t>
            </w:r>
            <w:r>
              <w:rPr>
                <w:rFonts w:hint="eastAsia" w:ascii="仿宋_GB2312" w:hAnsi="仿宋_GB2312" w:eastAsia="仿宋_GB2312" w:cs="仿宋_GB2312"/>
                <w:sz w:val="28"/>
                <w:szCs w:val="28"/>
                <w:lang w:eastAsia="zh-CN"/>
              </w:rPr>
              <w:t>各有关部门要通过在门户网站设立信访专栏、公开投诉举报电话、整合涉企乱收费乱罚款乱摊派问题线索收集平台等方式，常态化收集涉企违规收费问题线索和意见建议。</w:t>
            </w:r>
          </w:p>
        </w:tc>
        <w:tc>
          <w:tcPr>
            <w:tcW w:w="2970" w:type="dxa"/>
            <w:vAlign w:val="center"/>
          </w:tcPr>
          <w:p>
            <w:pPr>
              <w:pStyle w:val="9"/>
              <w:spacing w:before="98" w:line="217" w:lineRule="auto"/>
              <w:ind w:firstLine="128" w:firstLineChars="49"/>
              <w:jc w:val="center"/>
              <w:rPr>
                <w:rFonts w:ascii="仿宋_GB2312" w:hAnsi="仿宋_GB2312" w:eastAsia="仿宋_GB2312" w:cs="仿宋_GB2312"/>
                <w:sz w:val="28"/>
                <w:szCs w:val="28"/>
              </w:rPr>
            </w:pPr>
            <w:r>
              <w:rPr>
                <w:rFonts w:hint="eastAsia" w:ascii="仿宋_GB2312" w:hAnsi="仿宋_GB2312" w:eastAsia="仿宋_GB2312" w:cs="仿宋_GB2312"/>
                <w:spacing w:val="-9"/>
                <w:sz w:val="28"/>
                <w:szCs w:val="28"/>
                <w:lang w:eastAsia="zh-CN"/>
              </w:rPr>
              <w:t>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2873" w:type="dxa"/>
            <w:vMerge w:val="continue"/>
          </w:tcPr>
          <w:p>
            <w:pPr>
              <w:pStyle w:val="9"/>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9"/>
              <w:jc w:val="center"/>
              <w:textAlignment w:val="baseline"/>
              <w:rPr>
                <w:sz w:val="28"/>
                <w:szCs w:val="28"/>
              </w:rPr>
            </w:pPr>
          </w:p>
        </w:tc>
        <w:tc>
          <w:tcPr>
            <w:tcW w:w="8621" w:type="dxa"/>
          </w:tcPr>
          <w:p>
            <w:pPr>
              <w:pStyle w:val="9"/>
              <w:spacing w:before="154" w:line="248" w:lineRule="auto"/>
              <w:ind w:left="140" w:right="105" w:hanging="23"/>
              <w:rPr>
                <w:sz w:val="28"/>
                <w:szCs w:val="28"/>
                <w:lang w:eastAsia="zh-CN"/>
              </w:rPr>
            </w:pPr>
            <w:r>
              <w:rPr>
                <w:rFonts w:hint="eastAsia" w:ascii="楷体_GB2312" w:hAnsi="楷体_GB2312" w:eastAsia="楷体_GB2312" w:cs="楷体_GB2312"/>
                <w:b/>
                <w:bCs/>
                <w:sz w:val="28"/>
                <w:szCs w:val="28"/>
                <w:lang w:eastAsia="zh-CN"/>
              </w:rPr>
              <w:t>(十)健全问题线索处理机制。</w:t>
            </w:r>
            <w:r>
              <w:rPr>
                <w:rFonts w:hint="eastAsia" w:ascii="仿宋_GB2312" w:hAnsi="仿宋_GB2312" w:eastAsia="仿宋_GB2312" w:cs="仿宋_GB2312"/>
                <w:sz w:val="28"/>
                <w:szCs w:val="28"/>
                <w:lang w:eastAsia="zh-CN"/>
              </w:rPr>
              <w:t>市场监管部门加强对违规收费行为查处工作的指导，依法曝光涉企违规收费典型案例。工信部门会同有关部门每年按规定督促整改发现的涉企违规收费问题。</w:t>
            </w:r>
          </w:p>
        </w:tc>
        <w:tc>
          <w:tcPr>
            <w:tcW w:w="2970" w:type="dxa"/>
            <w:vAlign w:val="center"/>
          </w:tcPr>
          <w:p>
            <w:pPr>
              <w:pStyle w:val="9"/>
              <w:spacing w:before="98" w:line="218" w:lineRule="auto"/>
              <w:ind w:firstLine="134" w:firstLineChars="49"/>
              <w:jc w:val="center"/>
              <w:rPr>
                <w:rFonts w:hint="eastAsia" w:ascii="仿宋_GB2312" w:hAnsi="仿宋_GB2312" w:eastAsia="仿宋_GB2312" w:cs="仿宋_GB2312"/>
                <w:spacing w:val="-3"/>
                <w:sz w:val="28"/>
                <w:szCs w:val="28"/>
                <w:lang w:eastAsia="zh-CN"/>
              </w:rPr>
            </w:pPr>
            <w:r>
              <w:rPr>
                <w:rFonts w:hint="eastAsia" w:ascii="仿宋_GB2312" w:hAnsi="仿宋_GB2312" w:eastAsia="仿宋_GB2312" w:cs="仿宋_GB2312"/>
                <w:spacing w:val="-3"/>
                <w:sz w:val="28"/>
                <w:szCs w:val="28"/>
                <w:lang w:eastAsia="zh-CN"/>
              </w:rPr>
              <w:t>市市场监管局、</w:t>
            </w:r>
          </w:p>
          <w:p>
            <w:pPr>
              <w:pStyle w:val="9"/>
              <w:spacing w:before="98" w:line="218" w:lineRule="auto"/>
              <w:ind w:firstLine="134" w:firstLineChars="49"/>
              <w:jc w:val="center"/>
              <w:rPr>
                <w:rFonts w:ascii="仿宋_GB2312" w:hAnsi="仿宋_GB2312" w:eastAsia="仿宋_GB2312" w:cs="仿宋_GB2312"/>
                <w:sz w:val="28"/>
                <w:szCs w:val="28"/>
                <w:lang w:eastAsia="zh-CN"/>
              </w:rPr>
            </w:pPr>
            <w:r>
              <w:rPr>
                <w:rFonts w:hint="eastAsia" w:ascii="仿宋_GB2312" w:hAnsi="仿宋_GB2312" w:eastAsia="仿宋_GB2312" w:cs="仿宋_GB2312"/>
                <w:spacing w:val="-3"/>
                <w:sz w:val="28"/>
                <w:szCs w:val="28"/>
                <w:lang w:eastAsia="zh-CN"/>
              </w:rPr>
              <w:t>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5" w:hRule="atLeast"/>
          <w:jc w:val="center"/>
        </w:trPr>
        <w:tc>
          <w:tcPr>
            <w:tcW w:w="2873" w:type="dxa"/>
            <w:vMerge w:val="restart"/>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7" w:lineRule="auto"/>
              <w:ind w:left="0" w:right="0" w:firstLine="15"/>
              <w:jc w:val="center"/>
              <w:textAlignment w:val="baseline"/>
              <w:rPr>
                <w:sz w:val="28"/>
                <w:szCs w:val="28"/>
                <w:lang w:eastAsia="zh-CN"/>
              </w:rPr>
            </w:pPr>
            <w:r>
              <w:rPr>
                <w:rFonts w:ascii="黑体" w:hAnsi="黑体" w:eastAsia="黑体" w:cs="黑体"/>
                <w:spacing w:val="-2"/>
                <w:sz w:val="28"/>
                <w:szCs w:val="28"/>
                <w:lang w:eastAsia="zh-CN"/>
              </w:rPr>
              <w:t>六、加强相关领域收费规范</w:t>
            </w:r>
          </w:p>
        </w:tc>
        <w:tc>
          <w:tcPr>
            <w:tcW w:w="8621" w:type="dxa"/>
          </w:tcPr>
          <w:p>
            <w:pPr>
              <w:pStyle w:val="9"/>
              <w:spacing w:before="69" w:line="237" w:lineRule="auto"/>
              <w:ind w:left="121" w:right="23" w:hanging="4"/>
              <w:jc w:val="both"/>
              <w:rPr>
                <w:sz w:val="28"/>
                <w:szCs w:val="28"/>
                <w:lang w:eastAsia="zh-CN"/>
              </w:rPr>
            </w:pPr>
            <w:r>
              <w:rPr>
                <w:rFonts w:hint="eastAsia" w:ascii="楷体_GB2312" w:hAnsi="楷体_GB2312" w:eastAsia="楷体_GB2312" w:cs="楷体_GB2312"/>
                <w:b/>
                <w:bCs/>
                <w:sz w:val="28"/>
                <w:szCs w:val="28"/>
                <w:lang w:eastAsia="zh-CN"/>
              </w:rPr>
              <w:t>(十一)加强中介服务收费规范。</w:t>
            </w:r>
            <w:r>
              <w:rPr>
                <w:rFonts w:hint="eastAsia" w:ascii="仿宋_GB2312" w:hAnsi="仿宋_GB2312" w:eastAsia="仿宋_GB2312" w:cs="仿宋_GB2312"/>
                <w:spacing w:val="6"/>
                <w:sz w:val="28"/>
                <w:szCs w:val="28"/>
                <w:lang w:eastAsia="zh-CN"/>
              </w:rPr>
              <w:t>各有关部门要依法清理违规中介服务事项、委托服务事项等，不得违规新增中介服务事项，不得将政务服务事项转为中介服务事项；属于政府管理职责的委托服务事项，相关费用由行政审批管理部门支付，不得转嫁给企业；清理对中介服务的不合理市场准入限制，支持和培育更多经营主体进入市场，促进公平竞争。</w:t>
            </w:r>
          </w:p>
        </w:tc>
        <w:tc>
          <w:tcPr>
            <w:tcW w:w="2970" w:type="dxa"/>
            <w:vAlign w:val="center"/>
          </w:tcPr>
          <w:p>
            <w:pPr>
              <w:pStyle w:val="9"/>
              <w:spacing w:before="98" w:line="247" w:lineRule="auto"/>
              <w:ind w:right="96" w:firstLine="146" w:firstLineChars="50"/>
              <w:jc w:val="center"/>
              <w:rPr>
                <w:sz w:val="28"/>
                <w:szCs w:val="28"/>
                <w:lang w:eastAsia="zh-CN"/>
              </w:rPr>
            </w:pPr>
            <w:r>
              <w:rPr>
                <w:rFonts w:hint="eastAsia" w:ascii="仿宋_GB2312" w:hAnsi="仿宋_GB2312" w:eastAsia="仿宋_GB2312" w:cs="仿宋_GB2312"/>
                <w:spacing w:val="6"/>
                <w:sz w:val="28"/>
                <w:szCs w:val="28"/>
                <w:lang w:eastAsia="zh-CN"/>
              </w:rPr>
              <w:t>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9" w:hRule="atLeast"/>
          <w:jc w:val="center"/>
        </w:trPr>
        <w:tc>
          <w:tcPr>
            <w:tcW w:w="2873" w:type="dxa"/>
            <w:vMerge w:val="continue"/>
          </w:tcPr>
          <w:p>
            <w:pPr>
              <w:pStyle w:val="9"/>
              <w:keepNext w:val="0"/>
              <w:keepLines w:val="0"/>
              <w:pageBreakBefore w:val="0"/>
              <w:widowControl/>
              <w:kinsoku w:val="0"/>
              <w:wordWrap/>
              <w:overflowPunct/>
              <w:topLinePunct w:val="0"/>
              <w:autoSpaceDE w:val="0"/>
              <w:autoSpaceDN w:val="0"/>
              <w:bidi w:val="0"/>
              <w:adjustRightInd w:val="0"/>
              <w:snapToGrid w:val="0"/>
              <w:spacing w:line="247" w:lineRule="auto"/>
              <w:ind w:left="0" w:right="0" w:firstLine="15"/>
              <w:jc w:val="center"/>
              <w:textAlignment w:val="baseline"/>
              <w:rPr>
                <w:rFonts w:ascii="黑体" w:hAnsi="黑体" w:eastAsia="黑体" w:cs="黑体"/>
                <w:spacing w:val="-2"/>
                <w:sz w:val="28"/>
                <w:szCs w:val="28"/>
              </w:rPr>
            </w:pPr>
          </w:p>
        </w:tc>
        <w:tc>
          <w:tcPr>
            <w:tcW w:w="8621" w:type="dxa"/>
          </w:tcPr>
          <w:p>
            <w:pPr>
              <w:pStyle w:val="9"/>
              <w:spacing w:before="69" w:line="237" w:lineRule="auto"/>
              <w:ind w:left="121" w:right="23" w:hanging="4"/>
              <w:jc w:val="both"/>
              <w:rPr>
                <w:spacing w:val="6"/>
                <w:sz w:val="28"/>
                <w:szCs w:val="28"/>
                <w:lang w:eastAsia="zh-CN"/>
              </w:rPr>
            </w:pPr>
            <w:r>
              <w:rPr>
                <w:rFonts w:hint="eastAsia" w:ascii="楷体_GB2312" w:hAnsi="楷体_GB2312" w:eastAsia="楷体_GB2312" w:cs="楷体_GB2312"/>
                <w:b/>
                <w:bCs/>
                <w:sz w:val="28"/>
                <w:szCs w:val="28"/>
                <w:lang w:eastAsia="zh-CN"/>
              </w:rPr>
              <w:t>(十二)加强行业协会商会收费规范。</w:t>
            </w:r>
            <w:r>
              <w:rPr>
                <w:rFonts w:hint="eastAsia" w:ascii="仿宋_GB2312" w:hAnsi="仿宋_GB2312" w:eastAsia="仿宋_GB2312" w:cs="仿宋_GB2312"/>
                <w:spacing w:val="6"/>
                <w:sz w:val="28"/>
                <w:szCs w:val="28"/>
                <w:lang w:eastAsia="zh-CN"/>
              </w:rPr>
              <w:t>落实完善社会团体会费管理等制度，配合有关部门持续深化行业协会商会改革，推动健全综合监管体系，规范行业协会商会收费行为。</w:t>
            </w:r>
          </w:p>
        </w:tc>
        <w:tc>
          <w:tcPr>
            <w:tcW w:w="2970" w:type="dxa"/>
            <w:vAlign w:val="center"/>
          </w:tcPr>
          <w:p>
            <w:pPr>
              <w:pStyle w:val="9"/>
              <w:spacing w:before="98" w:line="247" w:lineRule="auto"/>
              <w:ind w:right="96" w:firstLine="146" w:firstLineChars="50"/>
              <w:jc w:val="center"/>
              <w:rPr>
                <w:spacing w:val="-8"/>
                <w:sz w:val="28"/>
                <w:szCs w:val="28"/>
                <w:lang w:eastAsia="zh-CN"/>
              </w:rPr>
            </w:pPr>
            <w:r>
              <w:rPr>
                <w:rFonts w:hint="eastAsia" w:ascii="仿宋_GB2312" w:hAnsi="仿宋_GB2312" w:eastAsia="仿宋_GB2312" w:cs="仿宋_GB2312"/>
                <w:spacing w:val="6"/>
                <w:sz w:val="28"/>
                <w:szCs w:val="28"/>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3" w:hRule="atLeast"/>
          <w:jc w:val="center"/>
        </w:trPr>
        <w:tc>
          <w:tcPr>
            <w:tcW w:w="2873" w:type="dxa"/>
            <w:vMerge w:val="continue"/>
          </w:tcPr>
          <w:p>
            <w:pPr>
              <w:pStyle w:val="9"/>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1"/>
              <w:jc w:val="center"/>
              <w:textAlignment w:val="baseline"/>
              <w:rPr>
                <w:sz w:val="28"/>
                <w:szCs w:val="28"/>
              </w:rPr>
            </w:pPr>
          </w:p>
        </w:tc>
        <w:tc>
          <w:tcPr>
            <w:tcW w:w="8621" w:type="dxa"/>
          </w:tcPr>
          <w:p>
            <w:pPr>
              <w:pStyle w:val="9"/>
              <w:spacing w:before="59" w:line="238" w:lineRule="auto"/>
              <w:ind w:left="107" w:right="104" w:firstLine="12"/>
              <w:jc w:val="both"/>
              <w:rPr>
                <w:sz w:val="28"/>
                <w:szCs w:val="28"/>
                <w:lang w:eastAsia="zh-CN"/>
              </w:rPr>
            </w:pPr>
            <w:r>
              <w:rPr>
                <w:rFonts w:hint="eastAsia" w:ascii="楷体_GB2312" w:hAnsi="楷体_GB2312" w:eastAsia="楷体_GB2312" w:cs="楷体_GB2312"/>
                <w:b/>
                <w:bCs/>
                <w:sz w:val="28"/>
                <w:szCs w:val="28"/>
                <w:lang w:eastAsia="zh-CN"/>
              </w:rPr>
              <w:t>(十三)加强城镇供水供电供气行业收费规范。</w:t>
            </w:r>
            <w:r>
              <w:rPr>
                <w:rFonts w:hint="eastAsia" w:ascii="仿宋_GB2312" w:hAnsi="仿宋_GB2312" w:eastAsia="仿宋_GB2312" w:cs="仿宋_GB2312"/>
                <w:spacing w:val="6"/>
                <w:sz w:val="28"/>
                <w:szCs w:val="28"/>
                <w:lang w:eastAsia="zh-CN"/>
              </w:rPr>
              <w:t>持续规范城镇供水、供电、供气行业收费，清理取消不合理收费项目，</w:t>
            </w:r>
            <w:r>
              <w:rPr>
                <w:rFonts w:hint="eastAsia" w:ascii="仿宋_GB2312" w:hAnsi="仿宋_GB2312" w:eastAsia="仿宋_GB2312" w:cs="仿宋_GB2312"/>
                <w:spacing w:val="6"/>
                <w:w w:val="90"/>
                <w:sz w:val="28"/>
                <w:szCs w:val="28"/>
                <w:lang w:eastAsia="zh-CN"/>
              </w:rPr>
              <w:t>配合有关部门推动竞争性环节市场化改革</w:t>
            </w:r>
            <w:r>
              <w:rPr>
                <w:rFonts w:hint="eastAsia" w:ascii="仿宋_GB2312" w:hAnsi="仿宋_GB2312" w:eastAsia="仿宋_GB2312" w:cs="仿宋_GB2312"/>
                <w:spacing w:val="6"/>
                <w:sz w:val="28"/>
                <w:szCs w:val="28"/>
                <w:lang w:eastAsia="zh-CN"/>
              </w:rPr>
              <w:t>。</w:t>
            </w:r>
          </w:p>
        </w:tc>
        <w:tc>
          <w:tcPr>
            <w:tcW w:w="2970" w:type="dxa"/>
            <w:vAlign w:val="center"/>
          </w:tcPr>
          <w:p>
            <w:pPr>
              <w:ind w:firstLine="146" w:firstLineChars="50"/>
              <w:jc w:val="center"/>
              <w:rPr>
                <w:rFonts w:eastAsia="宋体"/>
                <w:sz w:val="28"/>
                <w:szCs w:val="28"/>
                <w:lang w:eastAsia="zh-CN"/>
              </w:rPr>
            </w:pPr>
            <w:r>
              <w:rPr>
                <w:rFonts w:hint="eastAsia" w:ascii="仿宋_GB2312" w:hAnsi="仿宋_GB2312" w:eastAsia="仿宋_GB2312" w:cs="仿宋_GB2312"/>
                <w:spacing w:val="6"/>
                <w:sz w:val="28"/>
                <w:szCs w:val="28"/>
                <w:lang w:eastAsia="zh-CN"/>
              </w:rPr>
              <w:t>市发改委牵头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3" w:hRule="atLeast"/>
          <w:jc w:val="center"/>
        </w:trPr>
        <w:tc>
          <w:tcPr>
            <w:tcW w:w="2873" w:type="dxa"/>
            <w:vMerge w:val="continue"/>
          </w:tcPr>
          <w:p>
            <w:pPr>
              <w:pStyle w:val="9"/>
              <w:keepNext w:val="0"/>
              <w:keepLines w:val="0"/>
              <w:pageBreakBefore w:val="0"/>
              <w:widowControl/>
              <w:kinsoku w:val="0"/>
              <w:wordWrap/>
              <w:overflowPunct/>
              <w:topLinePunct w:val="0"/>
              <w:autoSpaceDE w:val="0"/>
              <w:autoSpaceDN w:val="0"/>
              <w:bidi w:val="0"/>
              <w:adjustRightInd w:val="0"/>
              <w:snapToGrid w:val="0"/>
              <w:spacing w:line="248" w:lineRule="auto"/>
              <w:ind w:left="0" w:right="0" w:hanging="1"/>
              <w:jc w:val="center"/>
              <w:textAlignment w:val="baseline"/>
              <w:rPr>
                <w:sz w:val="28"/>
                <w:szCs w:val="28"/>
              </w:rPr>
            </w:pPr>
          </w:p>
        </w:tc>
        <w:tc>
          <w:tcPr>
            <w:tcW w:w="8621" w:type="dxa"/>
          </w:tcPr>
          <w:p>
            <w:pPr>
              <w:pStyle w:val="9"/>
              <w:spacing w:before="59" w:line="238" w:lineRule="auto"/>
              <w:ind w:left="107" w:right="104" w:firstLine="12"/>
              <w:jc w:val="both"/>
              <w:rPr>
                <w:b/>
                <w:bCs/>
                <w:sz w:val="28"/>
                <w:szCs w:val="28"/>
                <w:lang w:eastAsia="zh-CN"/>
              </w:rPr>
            </w:pPr>
            <w:r>
              <w:rPr>
                <w:rFonts w:hint="eastAsia" w:ascii="楷体_GB2312" w:hAnsi="楷体_GB2312" w:eastAsia="楷体_GB2312" w:cs="楷体_GB2312"/>
                <w:b/>
                <w:bCs/>
                <w:sz w:val="28"/>
                <w:szCs w:val="28"/>
                <w:lang w:eastAsia="zh-CN"/>
              </w:rPr>
              <w:t>（十四）切实加大收支管理力度。</w:t>
            </w:r>
            <w:r>
              <w:rPr>
                <w:rFonts w:hint="eastAsia" w:ascii="仿宋_GB2312" w:hAnsi="仿宋_GB2312" w:eastAsia="仿宋_GB2312" w:cs="仿宋_GB2312"/>
                <w:spacing w:val="6"/>
                <w:sz w:val="28"/>
                <w:szCs w:val="28"/>
                <w:lang w:eastAsia="zh-CN"/>
              </w:rPr>
              <w:t>加强非税收入监测和税费结构等相关指标分析预警，会同有关部门指导规范政府部门及下属单位收支等行为。</w:t>
            </w:r>
          </w:p>
        </w:tc>
        <w:tc>
          <w:tcPr>
            <w:tcW w:w="2970" w:type="dxa"/>
            <w:vAlign w:val="center"/>
          </w:tcPr>
          <w:p>
            <w:pPr>
              <w:ind w:firstLine="132" w:firstLineChars="50"/>
              <w:jc w:val="center"/>
              <w:rPr>
                <w:rFonts w:ascii="仿宋" w:hAnsi="仿宋" w:eastAsia="仿宋" w:cs="仿宋"/>
                <w:spacing w:val="-8"/>
                <w:sz w:val="28"/>
                <w:szCs w:val="28"/>
                <w:lang w:eastAsia="zh-CN"/>
              </w:rPr>
            </w:pPr>
            <w:r>
              <w:rPr>
                <w:rFonts w:hint="eastAsia" w:ascii="仿宋_GB2312" w:hAnsi="仿宋_GB2312" w:eastAsia="仿宋_GB2312" w:cs="仿宋_GB2312"/>
                <w:spacing w:val="-8"/>
                <w:sz w:val="28"/>
                <w:szCs w:val="28"/>
                <w:lang w:eastAsia="zh-CN"/>
              </w:rPr>
              <w:t>市财政局</w:t>
            </w:r>
          </w:p>
        </w:tc>
      </w:tr>
    </w:tbl>
    <w:p>
      <w:pPr>
        <w:spacing w:before="97" w:line="248" w:lineRule="auto"/>
        <w:ind w:right="116"/>
        <w:rPr>
          <w:rFonts w:ascii="仿宋" w:hAnsi="仿宋" w:eastAsia="仿宋" w:cs="仿宋"/>
          <w:sz w:val="30"/>
          <w:szCs w:val="30"/>
        </w:rPr>
      </w:pPr>
    </w:p>
    <w:sectPr>
      <w:pgSz w:w="16839" w:h="11907"/>
      <w:pgMar w:top="1185" w:right="1325" w:bottom="1134" w:left="132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69B7058"/>
    <w:rsid w:val="069D7718"/>
    <w:rsid w:val="08F86B95"/>
    <w:rsid w:val="095A2901"/>
    <w:rsid w:val="0AD92F19"/>
    <w:rsid w:val="0BA2645D"/>
    <w:rsid w:val="0D330CD5"/>
    <w:rsid w:val="0EE752C9"/>
    <w:rsid w:val="101F250D"/>
    <w:rsid w:val="116F4262"/>
    <w:rsid w:val="1236515A"/>
    <w:rsid w:val="138642F4"/>
    <w:rsid w:val="15974333"/>
    <w:rsid w:val="15CC4E10"/>
    <w:rsid w:val="17046343"/>
    <w:rsid w:val="171C1FB9"/>
    <w:rsid w:val="17EC2195"/>
    <w:rsid w:val="196B430B"/>
    <w:rsid w:val="1C296BF0"/>
    <w:rsid w:val="1C851E76"/>
    <w:rsid w:val="1D032F46"/>
    <w:rsid w:val="1D817A6C"/>
    <w:rsid w:val="1E544E31"/>
    <w:rsid w:val="1F5A640C"/>
    <w:rsid w:val="1FD12880"/>
    <w:rsid w:val="2127463C"/>
    <w:rsid w:val="218B6A34"/>
    <w:rsid w:val="22202913"/>
    <w:rsid w:val="234156D8"/>
    <w:rsid w:val="26EE6CB3"/>
    <w:rsid w:val="287C3278"/>
    <w:rsid w:val="29FD164E"/>
    <w:rsid w:val="2B7C6BCB"/>
    <w:rsid w:val="30337589"/>
    <w:rsid w:val="30B1405A"/>
    <w:rsid w:val="319F4112"/>
    <w:rsid w:val="32215CCA"/>
    <w:rsid w:val="32360747"/>
    <w:rsid w:val="331752FF"/>
    <w:rsid w:val="333454B6"/>
    <w:rsid w:val="34554B8D"/>
    <w:rsid w:val="35607D6F"/>
    <w:rsid w:val="37C174CB"/>
    <w:rsid w:val="39592739"/>
    <w:rsid w:val="40223B13"/>
    <w:rsid w:val="479E2D7B"/>
    <w:rsid w:val="47B12248"/>
    <w:rsid w:val="48352B13"/>
    <w:rsid w:val="49341389"/>
    <w:rsid w:val="4ABB5D30"/>
    <w:rsid w:val="4AD928BD"/>
    <w:rsid w:val="4B271F3E"/>
    <w:rsid w:val="4C783F9D"/>
    <w:rsid w:val="4D1F46E6"/>
    <w:rsid w:val="4F3E50EB"/>
    <w:rsid w:val="50760985"/>
    <w:rsid w:val="50BA361C"/>
    <w:rsid w:val="526476DF"/>
    <w:rsid w:val="526E4E64"/>
    <w:rsid w:val="54291B58"/>
    <w:rsid w:val="545B6737"/>
    <w:rsid w:val="56EF3A03"/>
    <w:rsid w:val="57D945CE"/>
    <w:rsid w:val="586A7ACE"/>
    <w:rsid w:val="5A8C50F9"/>
    <w:rsid w:val="5DA269D3"/>
    <w:rsid w:val="5E6D58FA"/>
    <w:rsid w:val="616E15AC"/>
    <w:rsid w:val="61C452B5"/>
    <w:rsid w:val="63BE23C9"/>
    <w:rsid w:val="65E77ED6"/>
    <w:rsid w:val="67B62E74"/>
    <w:rsid w:val="6DDD205C"/>
    <w:rsid w:val="6E6B5E77"/>
    <w:rsid w:val="773B288D"/>
    <w:rsid w:val="78A2250B"/>
    <w:rsid w:val="78D36C20"/>
    <w:rsid w:val="7AE022A0"/>
    <w:rsid w:val="7DA44D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3"/>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sz w:val="24"/>
    </w:rPr>
  </w:style>
  <w:style w:type="paragraph" w:styleId="4">
    <w:name w:val="Body Text"/>
    <w:basedOn w:val="1"/>
    <w:semiHidden/>
    <w:qFormat/>
    <w:uiPriority w:val="0"/>
    <w:rPr>
      <w:rFonts w:ascii="宋体" w:hAnsi="宋体" w:eastAsia="宋体" w:cs="宋体"/>
      <w:sz w:val="91"/>
      <w:szCs w:val="91"/>
      <w:lang w:val="en-US" w:eastAsia="en-US" w:bidi="ar-SA"/>
    </w:rPr>
  </w:style>
  <w:style w:type="paragraph" w:styleId="5">
    <w:name w:val="footer"/>
    <w:basedOn w:val="1"/>
    <w:qFormat/>
    <w:uiPriority w:val="0"/>
    <w:pPr>
      <w:tabs>
        <w:tab w:val="center" w:pos="4153"/>
        <w:tab w:val="right" w:pos="8306"/>
      </w:tabs>
    </w:pPr>
    <w:rPr>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30"/>
      <w:szCs w:val="3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1589</Words>
  <Characters>1589</Characters>
  <TotalTime>1</TotalTime>
  <ScaleCrop>false</ScaleCrop>
  <LinksUpToDate>false</LinksUpToDate>
  <CharactersWithSpaces>1591</CharactersWithSpaces>
  <Application>WPS Office_11.1.0.9912_F1E327BC-269C-435d-A152-05C5408002CA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2025-06-16T15:28:00Z</dcterms:created>
  <dc:creator>lenovo</dc:creator>
  <cp:lastModifiedBy>罗婷</cp:lastModifiedBy>
  <dcterms:modified xsi:type="dcterms:W3CDTF">2025-09-16T07:44:23Z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2025-08-11T17:42:12Z</vt:filetime>
  </property>
  <property fmtid="{D5CDD505-2E9C-101B-9397-08002B2CF9AE}" pid="4" name="KSOProductBuildVer">
    <vt:lpwstr>2052-11.1.0.9912</vt:lpwstr>
  </property>
  <property fmtid="{D5CDD505-2E9C-101B-9397-08002B2CF9AE}" pid="5" name="KSOTemplateDocerSaveRecord">
    <vt:lpwstr>eyJoZGlkIjoiZWIzYTdhMDRjZTQzODQ5ZGRhZDRmNDk5OTRlYjU4ZTIifQ==</vt:lpwstr>
  </property>
  <property fmtid="{D5CDD505-2E9C-101B-9397-08002B2CF9AE}" pid="6" name="ICV">
    <vt:lpwstr>2E04304786704633B176ADFE1A93CFFB_12</vt:lpwstr>
  </property>
</Properties>
</file>