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B95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hanging="600" w:hangingChars="150"/>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三明市民营经济高质量发展2026年工作要点</w:t>
      </w:r>
    </w:p>
    <w:p w14:paraId="11A53F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hanging="600" w:hangingChars="150"/>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起草说明</w:t>
      </w:r>
    </w:p>
    <w:p w14:paraId="366AE46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2312" w:hAnsi="方正仿宋_GB2312" w:eastAsia="方正仿宋_GB2312" w:cs="方正仿宋_GB2312"/>
          <w:sz w:val="32"/>
          <w:szCs w:val="32"/>
        </w:rPr>
      </w:pPr>
    </w:p>
    <w:p w14:paraId="000C076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为深入贯彻省委、省政府新时代民营经济强省战略部署，创新发展“晋江经验”，紧扣三明市“454”现代化产业体系构建核心任务，推动民营经济实现质的有效提升和量的合理增长，为三明革命</w:t>
      </w:r>
      <w:bookmarkStart w:id="0" w:name="_GoBack"/>
      <w:bookmarkEnd w:id="0"/>
      <w:r>
        <w:rPr>
          <w:rFonts w:hint="eastAsia" w:ascii="仿宋_GB2312" w:hAnsi="仿宋_GB2312" w:eastAsia="仿宋_GB2312" w:cs="仿宋_GB2312"/>
          <w:sz w:val="32"/>
          <w:szCs w:val="32"/>
          <w:lang w:eastAsia="zh-CN"/>
        </w:rPr>
        <w:t>老区高质量发展示范区建设、“十五五”发展开好局起好步注入强劲动能，市发改委牵头起草了《三明市民营经济高质量发展2026年工作要点（征求意见稿）》（以下简称《2026年工作要点》）。现将起草情况说明如下：</w:t>
      </w:r>
    </w:p>
    <w:p w14:paraId="7785106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一、起草背景和过程</w:t>
      </w:r>
    </w:p>
    <w:p w14:paraId="735750C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2月25日，省委书记、省全面实施新时代民营经济强省战略领导小组组长周祖翼主持召开领导小组第五次会议，审议《创新发展“晋江经验”纵深推进新时代民营经济强省战略2026行动方案》，对2026年全省民营经济高质量发展作出系统部署。2026年3月16日，省领导小组正式印发该行动方案，明确九大专项行动、40项重点任务及年度目标，为</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lang w:eastAsia="zh-CN"/>
        </w:rPr>
        <w:t>推进工作提供总遵循。</w:t>
      </w:r>
    </w:p>
    <w:p w14:paraId="5EFCB91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落实省会议精神与2026年行动方案要求，立足三明市民营经济发展实际，聚焦产业、企业、企业家三个维度，市发改委牵头启动《2026年工作要点》起草工作。起草过程中，全面对标省2026年行动方案任务清单，衔接我市“454”现代产业体系布局，充分吸收2025年工作要点实施经验，广泛结合三明市民营企业发展需求与老区特色优势，</w:t>
      </w:r>
      <w:r>
        <w:rPr>
          <w:rFonts w:hint="eastAsia" w:ascii="仿宋_GB2312" w:hAnsi="仿宋_GB2312" w:eastAsia="仿宋_GB2312" w:cs="仿宋_GB2312"/>
          <w:sz w:val="32"/>
          <w:szCs w:val="32"/>
          <w:lang w:val="en-US" w:eastAsia="zh-CN"/>
        </w:rPr>
        <w:t>并多轮征集各相关单位意见</w:t>
      </w:r>
      <w:r>
        <w:rPr>
          <w:rFonts w:hint="eastAsia" w:ascii="仿宋_GB2312" w:hAnsi="仿宋_GB2312" w:eastAsia="仿宋_GB2312" w:cs="仿宋_GB2312"/>
          <w:sz w:val="32"/>
          <w:szCs w:val="32"/>
          <w:lang w:eastAsia="zh-CN"/>
        </w:rPr>
        <w:t>修改完善，形成本次征求意见稿。</w:t>
      </w:r>
    </w:p>
    <w:p w14:paraId="0DEBE5B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二、主要内容</w:t>
      </w:r>
    </w:p>
    <w:p w14:paraId="1ABF657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《2026年工作要点》围绕三大聚焦、25项具体措施，构建2026年民营经济高质量发展工作体系，既全面承接省级任务，又突出三明落地实效：</w:t>
      </w:r>
    </w:p>
    <w:p w14:paraId="3C68B6C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（一）聚焦“四链融合”，构建三明特色民营产业生态</w:t>
      </w:r>
    </w:p>
    <w:p w14:paraId="672101C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lang w:val="en-US" w:eastAsia="zh-CN"/>
        </w:rPr>
        <w:t>共8项措施，以科技创新为核心牵引，强化企业创新主体地位、推动创新平台共建共享、深化科技金融支持、培优扶强市场主体、培育新兴产业与新质生产力、加快数字经济与智改数转、搭建高端人才引育平台、强化科技人才下沉服务，推动创新链、产业链、资金链、人才链深度融合。</w:t>
      </w:r>
    </w:p>
    <w:p w14:paraId="0CF847D2">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（二）聚焦“全生命周期”，激发民营企业主体活力</w:t>
      </w:r>
    </w:p>
    <w:p w14:paraId="388F678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12项措施，覆盖招商引资、民间投资提振、国内外市场开拓、要素精准供给、人力资源保障、政务服务优化、商标品牌建设、区域协同发展、政企闭环服务、法治保障、信用修复、网络环境优化，为民营企业提供从落地到发展的全流程服务。</w:t>
      </w:r>
    </w:p>
    <w:p w14:paraId="5DAC7EAE">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（三）聚焦“青蓝接力”，增强民营企业家发展动力</w:t>
      </w:r>
    </w:p>
    <w:p w14:paraId="07D358D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共5项措施，强化青年企业家梯队建设、发挥老企业家传帮带作用、讲好三明民企与企业家故事、提升企业家社会地位、构建亲清政商关系，推动民营企业家队伍代际传承、能力提升、健康成长。</w:t>
      </w:r>
    </w:p>
    <w:p w14:paraId="5CE1A99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三、主要创新点</w:t>
      </w:r>
    </w:p>
    <w:p w14:paraId="38EE49E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与省2026年行动方案衔接的特色安排如下：</w:t>
      </w:r>
    </w:p>
    <w:p w14:paraId="7E122C3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（一）任务承接更聚焦。</w:t>
      </w:r>
      <w:r>
        <w:rPr>
          <w:rFonts w:hint="eastAsia" w:ascii="仿宋_GB2312" w:hAnsi="仿宋_GB2312" w:eastAsia="仿宋_GB2312" w:cs="仿宋_GB2312"/>
          <w:sz w:val="32"/>
          <w:szCs w:val="32"/>
          <w:lang w:val="en-US" w:eastAsia="zh-CN"/>
        </w:rPr>
        <w:t>将省级九大专项行动、40项任务，整合转化为三明“三大聚焦、25项措施”，把科技创新赋能、产业升级、经营主体培育、市场开拓、民间投资、降本增效、法治宣贯、服务提升、企业家培育等省级重点，全部融入三明具体工作，不搞简单照搬，突出可操作、可落地。</w:t>
      </w:r>
    </w:p>
    <w:p w14:paraId="33EACE55">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（二）目标设定更贴合。</w:t>
      </w:r>
      <w:r>
        <w:rPr>
          <w:rFonts w:hint="eastAsia" w:ascii="仿宋_GB2312" w:hAnsi="仿宋_GB2312" w:eastAsia="仿宋_GB2312" w:cs="仿宋_GB2312"/>
          <w:sz w:val="32"/>
          <w:szCs w:val="32"/>
          <w:lang w:val="en-US" w:eastAsia="zh-CN"/>
        </w:rPr>
        <w:t>紧扣省级“民营经济贡献率保持7成以上、民间投资占比力争50%左右”等目标，结合三明实际细化为科技型中小企业占比、专精特新企业培育、数字化转型服务、民间投资项目推介等量化指标，确保省级任务在三明落地见效。</w:t>
      </w:r>
    </w:p>
    <w:p w14:paraId="249C6EDE">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（三）载体设计更务实。</w:t>
      </w:r>
      <w:r>
        <w:rPr>
          <w:rFonts w:hint="eastAsia" w:ascii="仿宋_GB2312" w:hAnsi="仿宋_GB2312" w:eastAsia="仿宋_GB2312" w:cs="仿宋_GB2312"/>
          <w:sz w:val="32"/>
          <w:szCs w:val="32"/>
          <w:lang w:val="en-US" w:eastAsia="zh-CN"/>
        </w:rPr>
        <w:t>把省级“政企面对面”“办事不出园区”“免申即享”“科技特派员”等机制，转化为三明“亲清夜话・政企恳谈”“小明帮办”“麒麟为企”“青商领航”“师徒结对”等特色载体，强化地方辨识度与执行性。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783B7-1CCD-4853-B625-1DF3ECC8A0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2" w:fontKey="{D8B17983-4399-46CE-BAD6-C92421059673}"/>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6409DDE-D676-4418-8BD4-C4A9F5A4015C}"/>
  </w:font>
  <w:font w:name="楷体_GB2312">
    <w:panose1 w:val="02010609030101010101"/>
    <w:charset w:val="86"/>
    <w:family w:val="auto"/>
    <w:pitch w:val="default"/>
    <w:sig w:usb0="00000001" w:usb1="080E0000" w:usb2="00000000" w:usb3="00000000" w:csb0="00040000" w:csb1="00000000"/>
    <w:embedRegular r:id="rId4" w:fontKey="{1ADB7841-0076-43DE-A7B7-35B1C956B906}"/>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D545F"/>
    <w:rsid w:val="05BD5F89"/>
    <w:rsid w:val="06C5794E"/>
    <w:rsid w:val="2EDD545F"/>
    <w:rsid w:val="61C70634"/>
    <w:rsid w:val="7EFE7278"/>
    <w:rsid w:val="EBEE84FF"/>
    <w:rsid w:val="EDBF119F"/>
    <w:rsid w:val="FBE6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1426</Characters>
  <Lines>0</Lines>
  <Paragraphs>0</Paragraphs>
  <TotalTime>22</TotalTime>
  <ScaleCrop>false</ScaleCrop>
  <LinksUpToDate>false</LinksUpToDate>
  <CharactersWithSpaces>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2026-04-06T15:51:00Z</dcterms:created>
  <dc:creator>林晨静</dc:creator>
  <cp:lastModifiedBy>叶丫璇</cp:lastModifiedBy>
  <cp:lastPrinted>2026-04-07T09:18:00Z</cp:lastPrinted>
  <dcterms:modified xsi:type="dcterms:W3CDTF">2026-04-07T07:18:09Z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4482233956B94023B57ABDD3A24EA476_11</vt:lpwstr>
  </property>
  <property fmtid="{D5CDD505-2E9C-101B-9397-08002B2CF9AE}" pid="4" name="KSOTemplateDocerSaveRecord">
    <vt:lpwstr>eyJoZGlkIjoiNzlkM2IwMWVhMWExMGU4OWM3ZGQ4YzA3MzUwMWUzOTMiLCJ1c2VySWQiOiI0MzAxMzE0MzEifQ==</vt:lpwstr>
  </property>
</Properties>
</file>