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黑体" w:hAnsi="黑体" w:eastAsia="黑体" w:cs="黑体"/>
          <w:szCs w:val="32"/>
        </w:rPr>
      </w:pPr>
      <w:r>
        <w:rPr>
          <w:rFonts w:hint="eastAsia" w:ascii="黑体" w:hAnsi="黑体" w:eastAsia="黑体" w:cs="黑体"/>
          <w:szCs w:val="32"/>
        </w:rPr>
        <w:t>附件1</w:t>
      </w:r>
    </w:p>
    <w:p>
      <w:pPr>
        <w:jc w:val="center"/>
        <w:rPr>
          <w:rFonts w:ascii="方正小标宋简体" w:hAnsi="方正小标宋简体" w:eastAsia="方正小标宋简体" w:cs="方正小标宋简体"/>
          <w:sz w:val="36"/>
          <w:szCs w:val="32"/>
        </w:rPr>
      </w:pPr>
      <w:r>
        <w:rPr>
          <w:rFonts w:hint="eastAsia" w:ascii="方正小标宋简体" w:hAnsi="方正小标宋简体" w:eastAsia="方正小标宋简体" w:cs="方正小标宋简体"/>
          <w:sz w:val="36"/>
          <w:szCs w:val="32"/>
        </w:rPr>
        <w:t>三明市粮食和物资储备中心2026年仪器设备采购项目询价单</w:t>
      </w:r>
    </w:p>
    <w:p>
      <w:pPr>
        <w:spacing w:line="400" w:lineRule="exact"/>
        <w:ind w:firstLine="480" w:firstLineChars="200"/>
        <w:rPr>
          <w:rFonts w:ascii="仿宋_GB2312" w:hAnsi="仿宋_GB2312" w:cs="仿宋_GB2312"/>
          <w:sz w:val="24"/>
          <w:szCs w:val="24"/>
        </w:rPr>
      </w:pPr>
      <w:r>
        <w:rPr>
          <w:rFonts w:hint="eastAsia" w:ascii="仿宋_GB2312" w:hAnsi="仿宋_GB2312" w:cs="仿宋_GB2312"/>
          <w:sz w:val="24"/>
          <w:szCs w:val="24"/>
        </w:rPr>
        <w:t>我</w:t>
      </w:r>
      <w:r>
        <w:rPr>
          <w:rFonts w:hint="eastAsia" w:ascii="仿宋_GB2312" w:hAnsi="仿宋_GB2312" w:cs="仿宋_GB2312"/>
          <w:sz w:val="24"/>
          <w:szCs w:val="24"/>
          <w:lang w:eastAsia="zh-CN"/>
        </w:rPr>
        <w:t>中心</w:t>
      </w:r>
      <w:r>
        <w:rPr>
          <w:rFonts w:hint="eastAsia" w:ascii="仿宋_GB2312" w:hAnsi="仿宋_GB2312" w:cs="仿宋_GB2312"/>
          <w:sz w:val="24"/>
          <w:szCs w:val="24"/>
        </w:rPr>
        <w:t>拟采购一批粮油质量检验检测仪器设备，为确定预算价格，根据《中华人民共和国政府采购法》等相关规定，特此询价。如有意参与者，请在2026年9月9日前对本次询价内容给出</w:t>
      </w:r>
      <w:r>
        <w:rPr>
          <w:rFonts w:hint="eastAsia" w:ascii="仿宋_GB2312" w:hAnsi="仿宋_GB2312" w:cs="仿宋_GB2312"/>
          <w:b/>
          <w:bCs/>
          <w:sz w:val="24"/>
          <w:szCs w:val="24"/>
        </w:rPr>
        <w:t>总报价及明细报价</w:t>
      </w:r>
      <w:r>
        <w:rPr>
          <w:rFonts w:hint="eastAsia" w:ascii="仿宋_GB2312" w:hAnsi="仿宋_GB2312" w:cs="仿宋_GB2312"/>
          <w:sz w:val="24"/>
          <w:szCs w:val="24"/>
        </w:rPr>
        <w:t>（报价单模版附后），并按要求填好此表报送我站。</w:t>
      </w:r>
    </w:p>
    <w:tbl>
      <w:tblPr>
        <w:tblStyle w:val="8"/>
        <w:tblW w:w="12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4652"/>
        <w:gridCol w:w="2425"/>
        <w:gridCol w:w="2142"/>
        <w:gridCol w:w="19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69" w:hRule="atLeast"/>
        </w:trPr>
        <w:tc>
          <w:tcPr>
            <w:tcW w:w="1832" w:type="dxa"/>
            <w:vAlign w:val="center"/>
          </w:tcPr>
          <w:p>
            <w:pPr>
              <w:jc w:val="center"/>
              <w:rPr>
                <w:rFonts w:eastAsia="宋体" w:cs="宋体"/>
                <w:b/>
                <w:bCs/>
                <w:sz w:val="24"/>
                <w:szCs w:val="24"/>
              </w:rPr>
            </w:pPr>
            <w:r>
              <w:rPr>
                <w:rFonts w:hint="eastAsia" w:eastAsia="宋体" w:cs="宋体"/>
                <w:b/>
                <w:bCs/>
                <w:sz w:val="24"/>
                <w:szCs w:val="24"/>
              </w:rPr>
              <w:t>报价单位全称</w:t>
            </w:r>
          </w:p>
        </w:tc>
        <w:tc>
          <w:tcPr>
            <w:tcW w:w="4652" w:type="dxa"/>
            <w:vAlign w:val="center"/>
          </w:tcPr>
          <w:p>
            <w:pPr>
              <w:jc w:val="center"/>
              <w:rPr>
                <w:rFonts w:eastAsia="宋体" w:cs="宋体"/>
                <w:sz w:val="24"/>
                <w:szCs w:val="24"/>
              </w:rPr>
            </w:pPr>
          </w:p>
        </w:tc>
        <w:tc>
          <w:tcPr>
            <w:tcW w:w="2425" w:type="dxa"/>
            <w:vAlign w:val="center"/>
          </w:tcPr>
          <w:p>
            <w:pPr>
              <w:jc w:val="center"/>
              <w:rPr>
                <w:rFonts w:eastAsia="宋体" w:cs="宋体"/>
                <w:b/>
                <w:bCs/>
                <w:sz w:val="24"/>
                <w:szCs w:val="24"/>
              </w:rPr>
            </w:pPr>
            <w:r>
              <w:rPr>
                <w:rFonts w:hint="eastAsia" w:eastAsia="宋体" w:cs="宋体"/>
                <w:b/>
                <w:bCs/>
                <w:sz w:val="24"/>
                <w:szCs w:val="24"/>
              </w:rPr>
              <w:t>单位法人代表</w:t>
            </w:r>
          </w:p>
        </w:tc>
        <w:tc>
          <w:tcPr>
            <w:tcW w:w="4063" w:type="dxa"/>
            <w:gridSpan w:val="2"/>
            <w:vAlign w:val="center"/>
          </w:tcPr>
          <w:p>
            <w:pPr>
              <w:rPr>
                <w:rFonts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6" w:hRule="atLeast"/>
        </w:trPr>
        <w:tc>
          <w:tcPr>
            <w:tcW w:w="1832" w:type="dxa"/>
            <w:vAlign w:val="center"/>
          </w:tcPr>
          <w:p>
            <w:pPr>
              <w:jc w:val="center"/>
              <w:rPr>
                <w:rFonts w:eastAsia="宋体" w:cs="宋体"/>
                <w:b/>
                <w:bCs/>
                <w:sz w:val="24"/>
                <w:szCs w:val="24"/>
              </w:rPr>
            </w:pPr>
            <w:r>
              <w:rPr>
                <w:rFonts w:hint="eastAsia" w:eastAsia="宋体" w:cs="宋体"/>
                <w:b/>
                <w:bCs/>
                <w:sz w:val="24"/>
                <w:szCs w:val="24"/>
              </w:rPr>
              <w:t>地址</w:t>
            </w:r>
          </w:p>
        </w:tc>
        <w:tc>
          <w:tcPr>
            <w:tcW w:w="4652" w:type="dxa"/>
            <w:vAlign w:val="center"/>
          </w:tcPr>
          <w:p>
            <w:pPr>
              <w:jc w:val="center"/>
              <w:rPr>
                <w:rFonts w:eastAsia="宋体" w:cs="宋体"/>
                <w:sz w:val="24"/>
                <w:szCs w:val="24"/>
              </w:rPr>
            </w:pPr>
          </w:p>
        </w:tc>
        <w:tc>
          <w:tcPr>
            <w:tcW w:w="2425" w:type="dxa"/>
            <w:vAlign w:val="center"/>
          </w:tcPr>
          <w:p>
            <w:pPr>
              <w:jc w:val="center"/>
              <w:rPr>
                <w:rFonts w:eastAsia="宋体" w:cs="宋体"/>
                <w:b/>
                <w:bCs/>
                <w:sz w:val="24"/>
                <w:szCs w:val="24"/>
              </w:rPr>
            </w:pPr>
            <w:r>
              <w:rPr>
                <w:rFonts w:hint="eastAsia" w:eastAsia="宋体" w:cs="宋体"/>
                <w:b/>
                <w:bCs/>
                <w:sz w:val="24"/>
                <w:szCs w:val="24"/>
              </w:rPr>
              <w:t>联系人及联系方式</w:t>
            </w:r>
          </w:p>
        </w:tc>
        <w:tc>
          <w:tcPr>
            <w:tcW w:w="4063" w:type="dxa"/>
            <w:gridSpan w:val="2"/>
            <w:vAlign w:val="center"/>
          </w:tcPr>
          <w:p>
            <w:pPr>
              <w:rPr>
                <w:rFonts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1832" w:type="dxa"/>
            <w:vAlign w:val="center"/>
          </w:tcPr>
          <w:p>
            <w:pPr>
              <w:jc w:val="center"/>
              <w:rPr>
                <w:rFonts w:eastAsia="宋体" w:cs="宋体"/>
                <w:b/>
                <w:bCs/>
                <w:sz w:val="24"/>
                <w:szCs w:val="24"/>
              </w:rPr>
            </w:pPr>
            <w:r>
              <w:rPr>
                <w:rFonts w:hint="eastAsia" w:eastAsia="宋体" w:cs="宋体"/>
                <w:b/>
                <w:bCs/>
                <w:sz w:val="24"/>
                <w:szCs w:val="24"/>
              </w:rPr>
              <w:t>采购内容</w:t>
            </w:r>
          </w:p>
        </w:tc>
        <w:tc>
          <w:tcPr>
            <w:tcW w:w="7077" w:type="dxa"/>
            <w:gridSpan w:val="2"/>
            <w:vAlign w:val="center"/>
          </w:tcPr>
          <w:p>
            <w:pPr>
              <w:jc w:val="center"/>
              <w:rPr>
                <w:rFonts w:eastAsia="宋体" w:cs="宋体"/>
                <w:b/>
                <w:bCs/>
                <w:sz w:val="24"/>
                <w:szCs w:val="24"/>
              </w:rPr>
            </w:pPr>
            <w:r>
              <w:rPr>
                <w:rFonts w:hint="eastAsia" w:eastAsia="宋体" w:cs="宋体"/>
                <w:b/>
                <w:bCs/>
                <w:sz w:val="24"/>
                <w:szCs w:val="24"/>
              </w:rPr>
              <w:t>采购服务要求</w:t>
            </w:r>
          </w:p>
        </w:tc>
        <w:tc>
          <w:tcPr>
            <w:tcW w:w="2142" w:type="dxa"/>
            <w:vAlign w:val="center"/>
          </w:tcPr>
          <w:p>
            <w:pPr>
              <w:jc w:val="center"/>
              <w:rPr>
                <w:rFonts w:eastAsia="宋体" w:cs="宋体"/>
                <w:b/>
                <w:bCs/>
                <w:sz w:val="24"/>
                <w:szCs w:val="24"/>
              </w:rPr>
            </w:pPr>
            <w:r>
              <w:rPr>
                <w:rFonts w:hint="eastAsia" w:eastAsia="宋体" w:cs="宋体"/>
                <w:b/>
                <w:bCs/>
                <w:sz w:val="24"/>
                <w:szCs w:val="24"/>
              </w:rPr>
              <w:t>供货时间</w:t>
            </w:r>
          </w:p>
        </w:tc>
        <w:tc>
          <w:tcPr>
            <w:tcW w:w="1921" w:type="dxa"/>
            <w:vAlign w:val="center"/>
          </w:tcPr>
          <w:p>
            <w:pPr>
              <w:jc w:val="center"/>
              <w:rPr>
                <w:rFonts w:eastAsia="宋体" w:cs="宋体"/>
                <w:b/>
                <w:bCs/>
                <w:sz w:val="24"/>
                <w:szCs w:val="24"/>
              </w:rPr>
            </w:pPr>
            <w:r>
              <w:rPr>
                <w:rFonts w:hint="eastAsia" w:eastAsia="宋体" w:cs="宋体"/>
                <w:b/>
                <w:bCs/>
                <w:sz w:val="24"/>
                <w:szCs w:val="24"/>
              </w:rPr>
              <w:t>报价（万元）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46" w:hRule="atLeast"/>
        </w:trPr>
        <w:tc>
          <w:tcPr>
            <w:tcW w:w="1832" w:type="dxa"/>
            <w:vAlign w:val="center"/>
          </w:tcPr>
          <w:p>
            <w:pPr>
              <w:rPr>
                <w:rFonts w:ascii="仿宋_GB2312" w:hAnsi="仿宋_GB2312" w:cs="仿宋_GB2312"/>
                <w:sz w:val="24"/>
                <w:szCs w:val="24"/>
              </w:rPr>
            </w:pPr>
            <w:bookmarkStart w:id="0" w:name="OLE_LINK3"/>
            <w:r>
              <w:rPr>
                <w:rFonts w:hint="eastAsia" w:ascii="仿宋_GB2312" w:hAnsi="仿宋_GB2312" w:cs="仿宋_GB2312"/>
                <w:color w:val="000000"/>
                <w:kern w:val="0"/>
                <w:sz w:val="24"/>
                <w:szCs w:val="24"/>
              </w:rPr>
              <w:t>粮食不完善粒检测仪</w:t>
            </w:r>
            <w:bookmarkEnd w:id="0"/>
            <w:r>
              <w:rPr>
                <w:rFonts w:hint="eastAsia" w:ascii="仿宋_GB2312" w:hAnsi="仿宋_GB2312" w:cs="仿宋_GB2312"/>
                <w:color w:val="000000"/>
                <w:kern w:val="0"/>
                <w:sz w:val="24"/>
                <w:szCs w:val="24"/>
              </w:rPr>
              <w:t>、全自动脂肪酸值滴定仪、净气型酸碱柜等</w:t>
            </w:r>
          </w:p>
        </w:tc>
        <w:tc>
          <w:tcPr>
            <w:tcW w:w="7077" w:type="dxa"/>
            <w:gridSpan w:val="2"/>
            <w:vAlign w:val="center"/>
          </w:tcPr>
          <w:p>
            <w:pPr>
              <w:jc w:val="center"/>
              <w:rPr>
                <w:rFonts w:ascii="仿宋_GB2312" w:hAnsi="仿宋_GB2312" w:cs="仿宋_GB2312"/>
                <w:sz w:val="24"/>
                <w:szCs w:val="24"/>
              </w:rPr>
            </w:pPr>
            <w:r>
              <w:rPr>
                <w:rFonts w:hint="eastAsia" w:ascii="仿宋_GB2312" w:hAnsi="仿宋_GB2312" w:cs="仿宋_GB2312"/>
                <w:sz w:val="24"/>
                <w:szCs w:val="24"/>
              </w:rPr>
              <w:t>详见《三明市粮食和物资储备中心</w:t>
            </w:r>
            <w:r>
              <w:rPr>
                <w:rFonts w:hint="eastAsia" w:ascii="仿宋_GB2312" w:hAnsi="仿宋_GB2312" w:cs="仿宋_GB2312"/>
                <w:sz w:val="24"/>
                <w:szCs w:val="24"/>
                <w:lang w:val="en-US" w:eastAsia="zh-CN"/>
              </w:rPr>
              <w:t>2026年</w:t>
            </w:r>
            <w:r>
              <w:rPr>
                <w:rFonts w:hint="eastAsia" w:ascii="仿宋_GB2312" w:hAnsi="仿宋_GB2312" w:cs="仿宋_GB2312"/>
                <w:sz w:val="24"/>
                <w:szCs w:val="24"/>
              </w:rPr>
              <w:t>仪器设备采购项目要求》</w:t>
            </w:r>
          </w:p>
        </w:tc>
        <w:tc>
          <w:tcPr>
            <w:tcW w:w="2142" w:type="dxa"/>
            <w:vAlign w:val="center"/>
          </w:tcPr>
          <w:p>
            <w:pPr>
              <w:jc w:val="center"/>
              <w:rPr>
                <w:rFonts w:ascii="仿宋_GB2312" w:hAnsi="仿宋_GB2312" w:cs="仿宋_GB2312"/>
                <w:sz w:val="24"/>
                <w:szCs w:val="24"/>
              </w:rPr>
            </w:pPr>
            <w:r>
              <w:rPr>
                <w:rFonts w:hint="eastAsia" w:ascii="仿宋_GB2312" w:hAnsi="仿宋_GB2312" w:cs="仿宋_GB2312"/>
                <w:sz w:val="24"/>
                <w:szCs w:val="24"/>
              </w:rPr>
              <w:t>合同签订后30日内</w:t>
            </w:r>
          </w:p>
        </w:tc>
        <w:tc>
          <w:tcPr>
            <w:tcW w:w="1921" w:type="dxa"/>
            <w:vAlign w:val="center"/>
          </w:tcPr>
          <w:p>
            <w:pPr>
              <w:rPr>
                <w:rFonts w:ascii="仿宋_GB2312" w:hAnsi="仿宋_GB2312" w:cs="仿宋_GB2312"/>
                <w:sz w:val="24"/>
                <w:szCs w:val="24"/>
              </w:rPr>
            </w:pPr>
          </w:p>
        </w:tc>
      </w:tr>
    </w:tbl>
    <w:p>
      <w:pPr>
        <w:wordWrap w:val="0"/>
        <w:jc w:val="right"/>
        <w:rPr>
          <w:rFonts w:ascii="仿宋_GB2312" w:hAnsi="仿宋_GB2312" w:cs="仿宋_GB2312"/>
          <w:sz w:val="24"/>
          <w:szCs w:val="24"/>
        </w:rPr>
      </w:pPr>
    </w:p>
    <w:p>
      <w:pPr>
        <w:wordWrap w:val="0"/>
        <w:jc w:val="right"/>
        <w:rPr>
          <w:rFonts w:ascii="仿宋_GB2312" w:hAnsi="仿宋_GB2312" w:cs="仿宋_GB2312"/>
          <w:sz w:val="24"/>
          <w:szCs w:val="24"/>
        </w:rPr>
      </w:pPr>
      <w:r>
        <w:rPr>
          <w:rFonts w:hint="eastAsia" w:ascii="仿宋_GB2312" w:hAnsi="仿宋_GB2312" w:cs="仿宋_GB2312"/>
          <w:sz w:val="24"/>
          <w:szCs w:val="24"/>
        </w:rPr>
        <w:t xml:space="preserve">    </w:t>
      </w:r>
    </w:p>
    <w:p>
      <w:pPr>
        <w:wordWrap w:val="0"/>
        <w:jc w:val="center"/>
        <w:rPr>
          <w:rFonts w:ascii="仿宋_GB2312" w:hAnsi="仿宋_GB2312" w:cs="仿宋_GB2312"/>
          <w:sz w:val="22"/>
          <w:szCs w:val="22"/>
        </w:rPr>
        <w:sectPr>
          <w:pgSz w:w="16838" w:h="11906" w:orient="landscape"/>
          <w:pgMar w:top="1587" w:right="2098" w:bottom="1474" w:left="1984" w:header="851" w:footer="992" w:gutter="0"/>
          <w:cols w:space="425" w:num="1"/>
          <w:docGrid w:type="lines" w:linePitch="312" w:charSpace="0"/>
        </w:sectPr>
      </w:pPr>
      <w:r>
        <w:rPr>
          <w:rFonts w:hint="eastAsia" w:ascii="仿宋_GB2312" w:hAnsi="仿宋_GB2312" w:cs="仿宋_GB2312"/>
          <w:sz w:val="24"/>
          <w:szCs w:val="24"/>
        </w:rPr>
        <w:t xml:space="preserve">                                                                             </w:t>
      </w:r>
      <w:r>
        <w:rPr>
          <w:rFonts w:hint="eastAsia" w:ascii="仿宋_GB2312" w:hAnsi="仿宋_GB2312" w:cs="仿宋_GB2312"/>
          <w:sz w:val="22"/>
          <w:szCs w:val="22"/>
        </w:rPr>
        <w:t xml:space="preserve"> </w:t>
      </w:r>
    </w:p>
    <w:p>
      <w:pPr>
        <w:adjustRightInd/>
        <w:jc w:val="center"/>
        <w:rPr>
          <w:rFonts w:ascii="方正小标宋简体" w:hAnsi="等线" w:eastAsia="方正小标宋简体" w:cs="Times New Roman"/>
          <w:sz w:val="40"/>
          <w:szCs w:val="32"/>
        </w:rPr>
      </w:pPr>
      <w:r>
        <w:rPr>
          <w:rFonts w:hint="eastAsia" w:ascii="方正小标宋简体" w:hAnsi="等线" w:eastAsia="方正小标宋简体" w:cs="Times New Roman"/>
          <w:sz w:val="40"/>
          <w:szCs w:val="32"/>
        </w:rPr>
        <w:t>三明市粮食和物资储备中心</w:t>
      </w:r>
      <w:bookmarkStart w:id="7" w:name="_GoBack"/>
      <w:bookmarkEnd w:id="7"/>
      <w:r>
        <w:rPr>
          <w:rFonts w:hint="eastAsia" w:ascii="方正小标宋简体" w:hAnsi="等线" w:eastAsia="方正小标宋简体" w:cs="Times New Roman"/>
          <w:sz w:val="40"/>
          <w:szCs w:val="32"/>
        </w:rPr>
        <w:t>2026年</w:t>
      </w:r>
    </w:p>
    <w:p>
      <w:pPr>
        <w:adjustRightInd/>
        <w:jc w:val="center"/>
        <w:rPr>
          <w:rFonts w:ascii="仿宋_GB2312" w:hAnsi="等线" w:cs="Times New Roman"/>
          <w:szCs w:val="32"/>
        </w:rPr>
      </w:pPr>
      <w:r>
        <w:rPr>
          <w:rFonts w:hint="eastAsia" w:ascii="方正小标宋简体" w:hAnsi="等线" w:eastAsia="方正小标宋简体" w:cs="Times New Roman"/>
          <w:sz w:val="40"/>
          <w:szCs w:val="32"/>
        </w:rPr>
        <w:t>仪器设备采购项目要求</w:t>
      </w:r>
    </w:p>
    <w:p>
      <w:pPr>
        <w:adjustRightInd/>
        <w:ind w:firstLine="643" w:firstLineChars="200"/>
        <w:rPr>
          <w:rFonts w:ascii="楷体_GB2312" w:hAnsi="等线" w:eastAsia="楷体_GB2312" w:cs="Times New Roman"/>
          <w:b/>
          <w:szCs w:val="32"/>
        </w:rPr>
      </w:pPr>
    </w:p>
    <w:p>
      <w:pPr>
        <w:adjustRightInd/>
        <w:ind w:firstLine="643" w:firstLineChars="200"/>
        <w:rPr>
          <w:rFonts w:ascii="黑体" w:hAnsi="黑体" w:eastAsia="黑体" w:cs="黑体"/>
          <w:b/>
          <w:szCs w:val="32"/>
        </w:rPr>
      </w:pPr>
      <w:bookmarkStart w:id="1" w:name="OLE_LINK1"/>
      <w:r>
        <w:rPr>
          <w:rFonts w:hint="eastAsia" w:ascii="黑体" w:hAnsi="黑体" w:eastAsia="黑体" w:cs="黑体"/>
          <w:b/>
          <w:szCs w:val="32"/>
        </w:rPr>
        <w:t>一、</w:t>
      </w:r>
      <w:r>
        <w:rPr>
          <w:rFonts w:hint="eastAsia" w:ascii="黑体" w:hAnsi="黑体" w:eastAsia="黑体" w:cs="黑体"/>
          <w:color w:val="000000"/>
          <w:kern w:val="0"/>
          <w:szCs w:val="32"/>
        </w:rPr>
        <w:t>粮食不完善粒检测仪</w:t>
      </w:r>
    </w:p>
    <w:p>
      <w:pPr>
        <w:ind w:firstLine="643" w:firstLineChars="200"/>
      </w:pPr>
      <w:r>
        <w:rPr>
          <w:rFonts w:hint="eastAsia" w:ascii="仿宋_GB2312" w:hAnsi="等线" w:cs="Times New Roman"/>
          <w:b/>
          <w:bCs/>
          <w:szCs w:val="32"/>
        </w:rPr>
        <w:t>1.功能要求：</w:t>
      </w:r>
      <w:bookmarkEnd w:id="1"/>
      <w:r>
        <w:rPr>
          <w:rFonts w:hint="eastAsia" w:ascii="仿宋_GB2312" w:hAnsi="等线" w:cs="Times New Roman"/>
          <w:szCs w:val="32"/>
        </w:rPr>
        <w:t>仪器能够按照国标要求，对</w:t>
      </w:r>
      <w:r>
        <w:rPr>
          <w:rFonts w:hint="eastAsia" w:ascii="仿宋_GB2312" w:hAnsi="等线" w:cs="Times New Roman"/>
          <w:b/>
          <w:bCs/>
          <w:szCs w:val="32"/>
        </w:rPr>
        <w:t>小麦不完善粒</w:t>
      </w:r>
      <w:r>
        <w:rPr>
          <w:rFonts w:hint="eastAsia" w:ascii="仿宋_GB2312" w:hAnsi="等线" w:cs="Times New Roman"/>
          <w:szCs w:val="32"/>
        </w:rPr>
        <w:t>（包括破损粒、病斑粒（赤霉病粒、黑胚粒）、虫蚀粒、生芽粒、生霉粒）、</w:t>
      </w:r>
      <w:r>
        <w:rPr>
          <w:rFonts w:hint="eastAsia" w:ascii="仿宋_GB2312" w:hAnsi="等线" w:cs="Times New Roman"/>
          <w:b/>
          <w:bCs/>
          <w:szCs w:val="32"/>
        </w:rPr>
        <w:t>玉米不完善粒</w:t>
      </w:r>
      <w:r>
        <w:rPr>
          <w:rFonts w:hint="eastAsia" w:ascii="仿宋_GB2312" w:hAnsi="等线" w:cs="Times New Roman"/>
          <w:szCs w:val="32"/>
        </w:rPr>
        <w:t>（包括破损粒、病斑粒、虫蚀粒、生芽粒、生霉粒、热损伤粒、霉变粒）进行快速检测，同时还能</w:t>
      </w:r>
      <w:r>
        <w:rPr>
          <w:rFonts w:hint="eastAsia" w:ascii="仿宋_GB2312" w:hAnsi="等线"/>
        </w:rPr>
        <w:t>运用自适应速率控制等技术</w:t>
      </w:r>
      <w:r>
        <w:rPr>
          <w:rFonts w:hint="eastAsia" w:ascii="仿宋_GB2312" w:hAnsi="等线" w:cs="Times New Roman"/>
          <w:szCs w:val="32"/>
        </w:rPr>
        <w:t>，建立稻谷算法模型数据库，对</w:t>
      </w:r>
      <w:r>
        <w:rPr>
          <w:rFonts w:hint="eastAsia" w:ascii="仿宋_GB2312" w:hAnsi="等线" w:cs="Times New Roman"/>
          <w:b/>
          <w:szCs w:val="32"/>
        </w:rPr>
        <w:t>稻谷谷外糙米、出糙率、整精米率</w:t>
      </w:r>
      <w:r>
        <w:rPr>
          <w:rFonts w:hint="eastAsia" w:ascii="仿宋_GB2312" w:hAnsi="等线" w:cs="Times New Roman"/>
          <w:szCs w:val="32"/>
        </w:rPr>
        <w:t>等指标进行快速检测，单个样品检测时间</w:t>
      </w:r>
      <w:bookmarkStart w:id="2" w:name="OLE_LINK6"/>
      <w:r>
        <w:rPr>
          <w:rFonts w:hint="eastAsia" w:ascii="仿宋_GB2312" w:hAnsi="等线"/>
        </w:rPr>
        <w:t>≤</w:t>
      </w:r>
      <w:bookmarkEnd w:id="2"/>
      <w:r>
        <w:rPr>
          <w:rFonts w:hint="eastAsia" w:ascii="仿宋_GB2312" w:hAnsi="等线" w:cs="Times New Roman"/>
          <w:szCs w:val="32"/>
        </w:rPr>
        <w:t>4分钟。仪器能够一机多粮种、一机多指标的全自动化检测，还能够检测各个粮种小杂（无机杂质、有机杂质、异种粮），使用过程中无需拆卸、更换模块。</w:t>
      </w:r>
    </w:p>
    <w:p>
      <w:pPr>
        <w:adjustRightInd/>
        <w:ind w:firstLine="643" w:firstLineChars="200"/>
        <w:rPr>
          <w:rFonts w:ascii="仿宋_GB2312" w:hAnsi="等线"/>
          <w:b/>
          <w:bCs/>
        </w:rPr>
      </w:pPr>
      <w:bookmarkStart w:id="3" w:name="OLE_LINK2"/>
      <w:r>
        <w:rPr>
          <w:rFonts w:hint="eastAsia" w:ascii="仿宋_GB2312" w:hAnsi="等线" w:cs="Times New Roman"/>
          <w:b/>
          <w:bCs/>
          <w:szCs w:val="32"/>
        </w:rPr>
        <w:t>2.</w:t>
      </w:r>
      <w:bookmarkEnd w:id="3"/>
      <w:r>
        <w:rPr>
          <w:rFonts w:hint="eastAsia" w:ascii="仿宋_GB2312" w:hAnsi="等线"/>
          <w:b/>
          <w:bCs/>
        </w:rPr>
        <w:t>性能要求：</w:t>
      </w:r>
    </w:p>
    <w:p>
      <w:pPr>
        <w:ind w:firstLine="640" w:firstLineChars="200"/>
        <w:rPr>
          <w:rFonts w:hint="eastAsia" w:ascii="仿宋_GB2312" w:hAnsi="等线"/>
        </w:rPr>
      </w:pPr>
      <w:r>
        <w:rPr>
          <w:rFonts w:hint="eastAsia" w:ascii="仿宋_GB2312" w:hAnsi="等线"/>
        </w:rPr>
        <w:t>2.1识别品种：小麦（白麦、红麦、混合麦）、玉米（白玉米、黄玉米）、稻谷。</w:t>
      </w:r>
    </w:p>
    <w:p>
      <w:pPr>
        <w:ind w:firstLine="640" w:firstLineChars="200"/>
        <w:rPr>
          <w:rFonts w:hint="eastAsia" w:ascii="仿宋_GB2312" w:hAnsi="等线"/>
        </w:rPr>
      </w:pPr>
      <w:r>
        <w:rPr>
          <w:rFonts w:hint="eastAsia" w:ascii="仿宋_GB2312" w:hAnsi="等线"/>
        </w:rPr>
        <w:t>2.2识别范围：小麦不完善粒，包括破损粒、病斑粒（赤霉病粒、黑胚粒）、虫蚀粒、生芽粒、生霉粒；玉米不完善粒，包括破损粒、病斑粒、虫蚀粒、生芽粒、生霉粒、热损伤粒、霉变粒；稻谷：谷外糙米，互混，出糙率、杂质（无机小类杂质，有机小类杂质）。</w:t>
      </w:r>
    </w:p>
    <w:p>
      <w:pPr>
        <w:ind w:firstLine="640" w:firstLineChars="200"/>
        <w:rPr>
          <w:rFonts w:hint="eastAsia" w:ascii="仿宋_GB2312" w:hAnsi="等线"/>
        </w:rPr>
      </w:pPr>
      <w:r>
        <w:rPr>
          <w:rFonts w:hint="eastAsia" w:ascii="仿宋_GB2312" w:hAnsi="等线"/>
        </w:rPr>
        <w:t>2.3识别准确率：98%以上，满足LS/T 6402-2017相关要求。</w:t>
      </w:r>
    </w:p>
    <w:p>
      <w:pPr>
        <w:ind w:firstLine="640" w:firstLineChars="200"/>
        <w:rPr>
          <w:rFonts w:hint="eastAsia" w:ascii="仿宋_GB2312" w:hAnsi="等线"/>
        </w:rPr>
      </w:pPr>
      <w:r>
        <w:rPr>
          <w:rFonts w:hint="eastAsia" w:ascii="仿宋_GB2312" w:hAnsi="等线"/>
        </w:rPr>
        <w:t>2.4图像精度：测试图有效高度10mm时线数每像素不低于100LW/PH。</w:t>
      </w:r>
    </w:p>
    <w:p>
      <w:pPr>
        <w:ind w:firstLine="640" w:firstLineChars="200"/>
        <w:rPr>
          <w:rFonts w:hint="eastAsia" w:ascii="仿宋_GB2312" w:hAnsi="等线"/>
        </w:rPr>
      </w:pPr>
      <w:r>
        <w:rPr>
          <w:rFonts w:hint="eastAsia" w:ascii="仿宋_GB2312" w:hAnsi="等线"/>
        </w:rPr>
        <w:t>2.5小麦不完善粒重复性、台间差允差：≤0.5%；玉米不完善粒重复性、台间差允差：</w:t>
      </w:r>
      <w:bookmarkStart w:id="4" w:name="OLE_LINK7"/>
      <w:r>
        <w:rPr>
          <w:rFonts w:hint="eastAsia" w:ascii="仿宋_GB2312" w:hAnsi="等线"/>
        </w:rPr>
        <w:t>≤</w:t>
      </w:r>
      <w:bookmarkEnd w:id="4"/>
      <w:r>
        <w:rPr>
          <w:rFonts w:hint="eastAsia" w:ascii="仿宋_GB2312" w:hAnsi="等线"/>
        </w:rPr>
        <w:t>1%；稻谷出糙率平行差≤</w:t>
      </w:r>
      <w:r>
        <w:rPr>
          <w:rFonts w:ascii="仿宋_GB2312" w:hAnsi="等线"/>
        </w:rPr>
        <w:t>0.5%</w:t>
      </w:r>
      <w:r>
        <w:rPr>
          <w:rFonts w:hint="eastAsia" w:ascii="仿宋_GB2312" w:hAnsi="等线"/>
        </w:rPr>
        <w:t>。</w:t>
      </w:r>
    </w:p>
    <w:p>
      <w:pPr>
        <w:ind w:firstLine="640" w:firstLineChars="200"/>
        <w:rPr>
          <w:rFonts w:hint="eastAsia" w:ascii="仿宋_GB2312" w:hAnsi="等线"/>
        </w:rPr>
      </w:pPr>
      <w:r>
        <w:rPr>
          <w:rFonts w:hint="eastAsia" w:ascii="仿宋_GB2312" w:hAnsi="等线"/>
        </w:rPr>
        <w:t>2.6运行噪音：</w:t>
      </w:r>
      <w:r>
        <w:rPr>
          <w:rFonts w:ascii="仿宋_GB2312" w:hAnsi="等线"/>
        </w:rPr>
        <w:t>&lt;</w:t>
      </w:r>
      <w:r>
        <w:rPr>
          <w:rFonts w:hint="eastAsia" w:ascii="仿宋_GB2312" w:hAnsi="等线"/>
        </w:rPr>
        <w:t>60db。</w:t>
      </w:r>
    </w:p>
    <w:p>
      <w:pPr>
        <w:ind w:firstLine="640" w:firstLineChars="200"/>
        <w:rPr>
          <w:rFonts w:hint="eastAsia" w:ascii="仿宋_GB2312" w:hAnsi="等线"/>
        </w:rPr>
      </w:pPr>
      <w:r>
        <w:rPr>
          <w:rFonts w:hint="eastAsia" w:ascii="仿宋_GB2312" w:hAnsi="等线"/>
        </w:rPr>
        <w:t>2.7仪器能够符合环境应力筛选试验要求，能在随机振动试验（频率范围5Hz～2000Hz,Grms=6)以及温度及电压应力循环（温度应力范围-40</w:t>
      </w:r>
      <w:r>
        <w:rPr>
          <w:rFonts w:hint="eastAsia" w:ascii="等线" w:hAnsi="等线" w:eastAsia="等线"/>
        </w:rPr>
        <w:t>℃</w:t>
      </w:r>
      <w:r>
        <w:rPr>
          <w:rFonts w:hint="eastAsia" w:ascii="仿宋_GB2312" w:hAnsi="等线"/>
        </w:rPr>
        <w:t>～70</w:t>
      </w:r>
      <w:r>
        <w:rPr>
          <w:rFonts w:hint="eastAsia" w:ascii="等线" w:hAnsi="等线" w:eastAsia="等线"/>
        </w:rPr>
        <w:t>℃</w:t>
      </w:r>
      <w:r>
        <w:rPr>
          <w:rFonts w:hint="eastAsia" w:eastAsia="宋体" w:cs="宋体"/>
        </w:rPr>
        <w:t>﹝</w:t>
      </w:r>
      <w:r>
        <w:rPr>
          <w:rFonts w:hint="eastAsia" w:ascii="仿宋_GB2312" w:hAnsi="仿宋_GB2312" w:cs="仿宋_GB2312"/>
        </w:rPr>
        <w:t>存储</w:t>
      </w:r>
      <w:r>
        <w:rPr>
          <w:rFonts w:hint="eastAsia" w:eastAsia="宋体" w:cs="宋体"/>
        </w:rPr>
        <w:t>﹞</w:t>
      </w:r>
      <w:r>
        <w:rPr>
          <w:rFonts w:hint="eastAsia" w:ascii="仿宋_GB2312" w:hAnsi="仿宋_GB2312" w:cs="仿宋_GB2312"/>
        </w:rPr>
        <w:t>、</w:t>
      </w:r>
      <w:r>
        <w:rPr>
          <w:rFonts w:hint="eastAsia" w:ascii="仿宋_GB2312" w:hAnsi="等线"/>
        </w:rPr>
        <w:t>0</w:t>
      </w:r>
      <w:r>
        <w:rPr>
          <w:rFonts w:hint="eastAsia" w:ascii="等线" w:hAnsi="等线" w:eastAsia="等线"/>
        </w:rPr>
        <w:t>℃</w:t>
      </w:r>
      <w:r>
        <w:rPr>
          <w:rFonts w:hint="eastAsia" w:ascii="仿宋_GB2312" w:hAnsi="等线"/>
        </w:rPr>
        <w:t>～50</w:t>
      </w:r>
      <w:r>
        <w:rPr>
          <w:rFonts w:hint="eastAsia" w:ascii="等线" w:hAnsi="等线" w:eastAsia="等线"/>
        </w:rPr>
        <w:t>℃</w:t>
      </w:r>
      <w:r>
        <w:rPr>
          <w:rFonts w:hint="eastAsia" w:eastAsia="宋体" w:cs="宋体"/>
        </w:rPr>
        <w:t>﹝</w:t>
      </w:r>
      <w:r>
        <w:rPr>
          <w:rFonts w:hint="eastAsia" w:ascii="仿宋_GB2312" w:hAnsi="仿宋_GB2312" w:cs="仿宋_GB2312"/>
        </w:rPr>
        <w:t>运行</w:t>
      </w:r>
      <w:r>
        <w:rPr>
          <w:rFonts w:hint="eastAsia" w:eastAsia="宋体" w:cs="宋体"/>
        </w:rPr>
        <w:t>﹞</w:t>
      </w:r>
      <w:r>
        <w:rPr>
          <w:rFonts w:hint="eastAsia" w:ascii="仿宋_GB2312" w:hAnsi="仿宋_GB2312" w:cs="仿宋_GB2312"/>
        </w:rPr>
        <w:t>，电应力范围</w:t>
      </w:r>
      <w:r>
        <w:rPr>
          <w:rFonts w:hint="eastAsia" w:ascii="仿宋_GB2312" w:hAnsi="等线"/>
        </w:rPr>
        <w:t>180V-265V）环境中正常工作，须提供国家认监委认可的检测（检验）机构出具的有效检测（检验）报告复印件佐证。</w:t>
      </w:r>
    </w:p>
    <w:p>
      <w:pPr>
        <w:ind w:firstLine="640" w:firstLineChars="200"/>
        <w:rPr>
          <w:rFonts w:hint="eastAsia"/>
        </w:rPr>
      </w:pPr>
      <w:r>
        <w:rPr>
          <w:rFonts w:hint="eastAsia" w:ascii="仿宋_GB2312" w:hAnsi="等线"/>
        </w:rPr>
        <w:t>2.8</w:t>
      </w:r>
      <w:r>
        <w:rPr>
          <w:rFonts w:hint="eastAsia" w:ascii="仿宋_GB2312" w:hAnsi="等线" w:cs="Times New Roman"/>
          <w:szCs w:val="32"/>
        </w:rPr>
        <w:t>仪器需通过国家粮油标准研究验证测试中心的仪器适用性验证测评。</w:t>
      </w:r>
    </w:p>
    <w:p>
      <w:pPr>
        <w:adjustRightInd/>
        <w:ind w:firstLine="643" w:firstLineChars="200"/>
        <w:rPr>
          <w:rFonts w:ascii="黑体" w:hAnsi="黑体" w:eastAsia="黑体" w:cs="黑体"/>
          <w:color w:val="000000"/>
          <w:kern w:val="0"/>
          <w:szCs w:val="32"/>
        </w:rPr>
      </w:pPr>
      <w:bookmarkStart w:id="5" w:name="OLE_LINK4"/>
      <w:r>
        <w:rPr>
          <w:rFonts w:hint="eastAsia" w:ascii="黑体" w:hAnsi="黑体" w:eastAsia="黑体" w:cs="黑体"/>
          <w:b/>
          <w:szCs w:val="32"/>
        </w:rPr>
        <w:t>二</w:t>
      </w:r>
      <w:r>
        <w:rPr>
          <w:rFonts w:hint="eastAsia" w:ascii="黑体" w:hAnsi="黑体" w:eastAsia="黑体" w:cs="黑体"/>
          <w:color w:val="000000"/>
          <w:kern w:val="0"/>
          <w:szCs w:val="32"/>
        </w:rPr>
        <w:t>、全自动脂肪酸值滴定仪</w:t>
      </w:r>
    </w:p>
    <w:p>
      <w:pPr>
        <w:widowControl/>
        <w:jc w:val="left"/>
        <w:rPr>
          <w:rFonts w:ascii="仿宋_GB2312" w:hAnsi="等线" w:cs="Times New Roman"/>
          <w:szCs w:val="32"/>
        </w:rPr>
      </w:pPr>
      <w:r>
        <w:rPr>
          <w:rFonts w:hint="eastAsia" w:ascii="仿宋_GB2312" w:hAnsi="等线" w:cs="Times New Roman"/>
          <w:b/>
          <w:bCs/>
          <w:szCs w:val="32"/>
        </w:rPr>
        <w:t xml:space="preserve">    1.功能要求：</w:t>
      </w:r>
      <w:r>
        <w:rPr>
          <w:rFonts w:hint="eastAsia" w:ascii="仿宋_GB2312" w:hAnsi="等线" w:cs="Times New Roman"/>
          <w:szCs w:val="32"/>
        </w:rPr>
        <w:t>仪器</w:t>
      </w:r>
      <w:bookmarkEnd w:id="5"/>
      <w:r>
        <w:rPr>
          <w:rFonts w:hint="eastAsia" w:ascii="仿宋_GB2312" w:hAnsi="等线" w:cs="Times New Roman"/>
          <w:szCs w:val="32"/>
        </w:rPr>
        <w:t>能够完成玉米、稻谷、小麦粉的脂肪酸值检测工作，一台仪器同时满足样品的在线前处理和滴定的联用，符合《GB/T 5510-2024 粮油检验 谷物及制品脂肪酸值测定 仪器法》国标的检测方法。仪器能够自动完成多个样品的振荡提取、提取液转移、过滤、收集、分取、加指示剂、检测的整套流程。仪器整机通过IP5X防尘认证，须提供国家认监委认可的检测（检验）机构出具的有效检测（检验）报告复印件佐证。</w:t>
      </w:r>
    </w:p>
    <w:p>
      <w:pPr>
        <w:adjustRightInd/>
        <w:ind w:firstLine="643" w:firstLineChars="200"/>
        <w:rPr>
          <w:rFonts w:hint="eastAsia" w:ascii="仿宋_GB2312" w:hAnsi="等线" w:cs="Times New Roman"/>
          <w:szCs w:val="32"/>
        </w:rPr>
      </w:pPr>
      <w:bookmarkStart w:id="6" w:name="OLE_LINK5"/>
      <w:r>
        <w:rPr>
          <w:rFonts w:hint="eastAsia" w:ascii="仿宋_GB2312" w:hAnsi="等线" w:cs="Times New Roman"/>
          <w:b/>
          <w:bCs/>
          <w:szCs w:val="32"/>
        </w:rPr>
        <w:t>2.性能性能：</w:t>
      </w:r>
      <w:bookmarkEnd w:id="6"/>
    </w:p>
    <w:p>
      <w:pPr>
        <w:ind w:firstLine="643" w:firstLineChars="200"/>
        <w:rPr>
          <w:rFonts w:ascii="仿宋_GB2312" w:hAnsi="等线"/>
          <w:b/>
        </w:rPr>
      </w:pPr>
      <w:r>
        <w:rPr>
          <w:rFonts w:hint="eastAsia" w:ascii="仿宋_GB2312" w:hAnsi="等线"/>
          <w:b/>
        </w:rPr>
        <w:t xml:space="preserve">2.1在线前处理部分： </w:t>
      </w:r>
    </w:p>
    <w:p>
      <w:pPr>
        <w:ind w:firstLine="640" w:firstLineChars="200"/>
        <w:rPr>
          <w:rFonts w:hint="eastAsia" w:ascii="仿宋_GB2312" w:hAnsi="等线"/>
        </w:rPr>
      </w:pPr>
      <w:r>
        <w:rPr>
          <w:rFonts w:hint="eastAsia" w:ascii="仿宋_GB2312" w:hAnsi="等线"/>
        </w:rPr>
        <w:t xml:space="preserve">2.1.1采用模块化设计，一台仪器同时满足样品的在线前处理和滴定的联用。 </w:t>
      </w:r>
    </w:p>
    <w:p>
      <w:pPr>
        <w:ind w:firstLine="640" w:firstLineChars="200"/>
        <w:rPr>
          <w:rFonts w:hint="eastAsia" w:ascii="仿宋_GB2312" w:hAnsi="等线"/>
        </w:rPr>
      </w:pPr>
      <w:r>
        <w:rPr>
          <w:rFonts w:hint="eastAsia" w:ascii="仿宋_GB2312" w:hAnsi="等线"/>
        </w:rPr>
        <w:t xml:space="preserve">2.1.2在线前处理功能：仪器标准配置模块，非滴定状态下，可独立使用，自动完成振荡提取、提取液转移、过滤、收集、分取、加指示剂的前处理工作。 </w:t>
      </w:r>
    </w:p>
    <w:p>
      <w:pPr>
        <w:ind w:firstLine="640" w:firstLineChars="200"/>
        <w:rPr>
          <w:rFonts w:hint="eastAsia" w:ascii="仿宋_GB2312" w:hAnsi="等线"/>
        </w:rPr>
      </w:pPr>
      <w:r>
        <w:rPr>
          <w:rFonts w:hint="eastAsia" w:ascii="仿宋_GB2312" w:hAnsi="等线"/>
        </w:rPr>
        <w:t xml:space="preserve">2.1.3样品处理量：满足≥8个样品的同时处理，自动前处理时间小于20min。 </w:t>
      </w:r>
    </w:p>
    <w:p>
      <w:pPr>
        <w:ind w:firstLine="640" w:firstLineChars="200"/>
        <w:rPr>
          <w:rFonts w:hint="eastAsia" w:ascii="仿宋_GB2312" w:hAnsi="等线"/>
        </w:rPr>
      </w:pPr>
      <w:r>
        <w:rPr>
          <w:rFonts w:hint="eastAsia" w:ascii="仿宋_GB2312" w:hAnsi="等线"/>
        </w:rPr>
        <w:t xml:space="preserve">2.1.4样品提取方式：磁力搅拌提取，与前处理仪器联用，通过程序自动控制速度和提取时间。 </w:t>
      </w:r>
    </w:p>
    <w:p>
      <w:pPr>
        <w:ind w:firstLine="640" w:firstLineChars="200"/>
        <w:rPr>
          <w:rFonts w:hint="eastAsia" w:ascii="仿宋_GB2312" w:hAnsi="等线"/>
        </w:rPr>
      </w:pPr>
      <w:r>
        <w:rPr>
          <w:rFonts w:hint="eastAsia" w:ascii="仿宋_GB2312" w:hAnsi="等线"/>
        </w:rPr>
        <w:t xml:space="preserve">2.1.5自动过滤：采用在线泵负压式过滤，自动完成≥8个样品的同时过滤，采用重复式过滤头。 </w:t>
      </w:r>
    </w:p>
    <w:p>
      <w:pPr>
        <w:ind w:firstLine="640" w:firstLineChars="200"/>
        <w:rPr>
          <w:rFonts w:hint="eastAsia" w:ascii="仿宋_GB2312" w:hAnsi="等线"/>
        </w:rPr>
      </w:pPr>
      <w:r>
        <w:rPr>
          <w:rFonts w:hint="eastAsia" w:ascii="仿宋_GB2312" w:hAnsi="等线"/>
        </w:rPr>
        <w:t xml:space="preserve">2.1.6过滤时间：仪器自动控制，不大于5min。 </w:t>
      </w:r>
    </w:p>
    <w:p>
      <w:pPr>
        <w:ind w:firstLine="640" w:firstLineChars="200"/>
        <w:rPr>
          <w:rFonts w:hint="eastAsia" w:ascii="仿宋_GB2312" w:hAnsi="等线"/>
        </w:rPr>
      </w:pPr>
      <w:r>
        <w:rPr>
          <w:rFonts w:hint="eastAsia" w:ascii="仿宋_GB2312" w:hAnsi="等线"/>
        </w:rPr>
        <w:t xml:space="preserve">2.1.7管路清洗：仪器具备一键清洗前处理部分管路和滴定管路的功能。 </w:t>
      </w:r>
    </w:p>
    <w:p>
      <w:pPr>
        <w:ind w:firstLine="640" w:firstLineChars="200"/>
        <w:rPr>
          <w:rFonts w:hint="eastAsia" w:ascii="仿宋_GB2312" w:hAnsi="等线"/>
        </w:rPr>
      </w:pPr>
      <w:r>
        <w:rPr>
          <w:rFonts w:hint="eastAsia" w:ascii="仿宋_GB2312" w:hAnsi="等线"/>
        </w:rPr>
        <w:t xml:space="preserve">2.1.8废液预去除：系统集成模块，定量泵自动进行过滤前废液的去除功能。 </w:t>
      </w:r>
    </w:p>
    <w:p>
      <w:pPr>
        <w:ind w:firstLine="640" w:firstLineChars="200"/>
        <w:rPr>
          <w:rFonts w:hint="eastAsia" w:ascii="仿宋_GB2312" w:hAnsi="等线"/>
        </w:rPr>
      </w:pPr>
      <w:r>
        <w:rPr>
          <w:rFonts w:hint="eastAsia" w:ascii="仿宋_GB2312" w:hAnsi="等线"/>
        </w:rPr>
        <w:t xml:space="preserve">2.1.9分液装置：系统集成模块，定量泵自动分取提取试剂。 </w:t>
      </w:r>
    </w:p>
    <w:p>
      <w:pPr>
        <w:ind w:firstLine="640" w:firstLineChars="200"/>
        <w:rPr>
          <w:rFonts w:hint="eastAsia" w:ascii="仿宋_GB2312" w:hAnsi="等线"/>
        </w:rPr>
      </w:pPr>
      <w:r>
        <w:rPr>
          <w:rFonts w:hint="eastAsia" w:ascii="仿宋_GB2312" w:hAnsi="等线"/>
        </w:rPr>
        <w:t xml:space="preserve">2.1.10移液精度：不大于0.5%。 </w:t>
      </w:r>
    </w:p>
    <w:p>
      <w:pPr>
        <w:ind w:firstLine="640" w:firstLineChars="200"/>
        <w:rPr>
          <w:rFonts w:hint="eastAsia" w:ascii="仿宋_GB2312" w:hAnsi="等线"/>
        </w:rPr>
      </w:pPr>
      <w:r>
        <w:rPr>
          <w:rFonts w:hint="eastAsia" w:ascii="仿宋_GB2312" w:hAnsi="等线"/>
        </w:rPr>
        <w:t xml:space="preserve">2.1.11指示剂添加：系统集成模块，定量泵自动添加指示剂。 </w:t>
      </w:r>
    </w:p>
    <w:p>
      <w:pPr>
        <w:ind w:firstLine="640" w:firstLineChars="200"/>
        <w:rPr>
          <w:rFonts w:hint="eastAsia" w:ascii="仿宋_GB2312" w:hAnsi="等线"/>
        </w:rPr>
      </w:pPr>
      <w:r>
        <w:rPr>
          <w:rFonts w:hint="eastAsia" w:ascii="仿宋_GB2312" w:hAnsi="等线"/>
        </w:rPr>
        <w:t xml:space="preserve">2.1.12指示剂加液时间：单样品不大于1min。 </w:t>
      </w:r>
    </w:p>
    <w:p>
      <w:pPr>
        <w:ind w:firstLine="640" w:firstLineChars="200"/>
        <w:rPr>
          <w:rFonts w:hint="eastAsia" w:ascii="仿宋_GB2312" w:hAnsi="等线"/>
        </w:rPr>
      </w:pPr>
      <w:r>
        <w:rPr>
          <w:rFonts w:hint="eastAsia" w:ascii="仿宋_GB2312" w:hAnsi="等线"/>
        </w:rPr>
        <w:t>2.1.13空杯检测：未放置样品杯时，会自动检测报警提示，防止误加液损坏仪器。</w:t>
      </w:r>
    </w:p>
    <w:p>
      <w:pPr>
        <w:ind w:firstLine="643" w:firstLineChars="200"/>
        <w:rPr>
          <w:rFonts w:hint="eastAsia" w:ascii="仿宋_GB2312" w:hAnsi="等线"/>
          <w:b/>
        </w:rPr>
      </w:pPr>
      <w:r>
        <w:rPr>
          <w:rFonts w:hint="eastAsia" w:ascii="仿宋_GB2312" w:hAnsi="等线"/>
          <w:b/>
        </w:rPr>
        <w:t xml:space="preserve">2.2滴定部分： </w:t>
      </w:r>
    </w:p>
    <w:p>
      <w:pPr>
        <w:ind w:firstLine="640" w:firstLineChars="200"/>
        <w:rPr>
          <w:rFonts w:hint="eastAsia" w:ascii="仿宋_GB2312" w:hAnsi="等线"/>
        </w:rPr>
      </w:pPr>
      <w:r>
        <w:rPr>
          <w:rFonts w:hint="eastAsia" w:ascii="仿宋_GB2312" w:hAnsi="等线"/>
        </w:rPr>
        <w:t xml:space="preserve">2.2.1滴定单元采用非接触式颜色传感器，双屏式设计，实时显示滴定体积、脂肪酸值数值及滴定过程中的颜色变化情况、自动空白扣除和数据计算。 </w:t>
      </w:r>
    </w:p>
    <w:p>
      <w:pPr>
        <w:ind w:firstLine="640" w:firstLineChars="200"/>
        <w:rPr>
          <w:rFonts w:hint="eastAsia" w:ascii="仿宋_GB2312" w:hAnsi="等线"/>
        </w:rPr>
      </w:pPr>
      <w:r>
        <w:rPr>
          <w:rFonts w:hint="eastAsia" w:ascii="仿宋_GB2312" w:hAnsi="等线"/>
        </w:rPr>
        <w:t xml:space="preserve">2.2.2自动调速：滴定泵根据滴定终点颜色变化进行自动速度调节。 </w:t>
      </w:r>
    </w:p>
    <w:p>
      <w:pPr>
        <w:ind w:firstLine="640" w:firstLineChars="200"/>
        <w:rPr>
          <w:rFonts w:hint="eastAsia" w:ascii="仿宋_GB2312" w:hAnsi="等线"/>
        </w:rPr>
      </w:pPr>
      <w:r>
        <w:rPr>
          <w:rFonts w:hint="eastAsia" w:ascii="仿宋_GB2312" w:hAnsi="等线"/>
        </w:rPr>
        <w:t xml:space="preserve">2.2.3校正功能：采用多点线性校正，自动对滴定数据进行校正，能够对玉米、小麦粉、稻谷的检测进行不同的参数设定和选择。 </w:t>
      </w:r>
    </w:p>
    <w:p>
      <w:pPr>
        <w:ind w:firstLine="640" w:firstLineChars="200"/>
        <w:rPr>
          <w:rFonts w:hint="eastAsia" w:ascii="仿宋_GB2312" w:hAnsi="等线"/>
        </w:rPr>
      </w:pPr>
      <w:r>
        <w:rPr>
          <w:rFonts w:hint="eastAsia" w:ascii="仿宋_GB2312" w:hAnsi="等线"/>
        </w:rPr>
        <w:t xml:space="preserve">2.2.4波长范围：300-700nm。 </w:t>
      </w:r>
    </w:p>
    <w:p>
      <w:pPr>
        <w:ind w:firstLine="640" w:firstLineChars="200"/>
        <w:rPr>
          <w:rFonts w:hint="eastAsia" w:ascii="仿宋_GB2312" w:hAnsi="等线"/>
        </w:rPr>
      </w:pPr>
      <w:r>
        <w:rPr>
          <w:rFonts w:hint="eastAsia" w:ascii="仿宋_GB2312" w:hAnsi="等线"/>
        </w:rPr>
        <w:t xml:space="preserve">2.2.5滤光片：≥650nm。 </w:t>
      </w:r>
    </w:p>
    <w:p>
      <w:pPr>
        <w:ind w:firstLine="640" w:firstLineChars="200"/>
        <w:rPr>
          <w:rFonts w:hint="eastAsia" w:ascii="仿宋_GB2312" w:hAnsi="等线"/>
        </w:rPr>
      </w:pPr>
      <w:r>
        <w:rPr>
          <w:rFonts w:hint="eastAsia" w:ascii="仿宋_GB2312" w:hAnsi="等线"/>
        </w:rPr>
        <w:t xml:space="preserve">2.2.6终点判断方式：符合《GB/T 5510-2024 粮油检验 谷物及制品脂肪酸值测定》国标的测试第三方法：自动光度滴定仪法。 </w:t>
      </w:r>
    </w:p>
    <w:p>
      <w:pPr>
        <w:ind w:firstLine="640" w:firstLineChars="200"/>
        <w:rPr>
          <w:rFonts w:hint="eastAsia" w:ascii="仿宋_GB2312" w:hAnsi="等线"/>
        </w:rPr>
      </w:pPr>
      <w:r>
        <w:rPr>
          <w:rFonts w:hint="eastAsia" w:ascii="仿宋_GB2312" w:hAnsi="等线"/>
        </w:rPr>
        <w:t>2.2.7光源检测调节：光源异常自动检测报警，一键式自动电流补偿调节。</w:t>
      </w:r>
    </w:p>
    <w:p>
      <w:pPr>
        <w:ind w:firstLine="640" w:firstLineChars="200"/>
        <w:rPr>
          <w:rFonts w:hint="eastAsia" w:ascii="仿宋_GB2312" w:hAnsi="等线"/>
        </w:rPr>
      </w:pPr>
      <w:r>
        <w:rPr>
          <w:rFonts w:hint="eastAsia" w:ascii="仿宋_GB2312" w:hAnsi="等线"/>
        </w:rPr>
        <w:t xml:space="preserve">2.2.8双平行样品误差：不大于2mg/100g干基样品。 </w:t>
      </w:r>
    </w:p>
    <w:p>
      <w:pPr>
        <w:ind w:firstLine="643" w:firstLineChars="200"/>
        <w:rPr>
          <w:rFonts w:hint="eastAsia" w:ascii="仿宋_GB2312" w:hAnsi="等线"/>
          <w:b/>
        </w:rPr>
      </w:pPr>
      <w:r>
        <w:rPr>
          <w:rFonts w:hint="eastAsia" w:ascii="仿宋_GB2312" w:hAnsi="等线"/>
          <w:b/>
        </w:rPr>
        <w:t xml:space="preserve">2.3数据处理 </w:t>
      </w:r>
    </w:p>
    <w:p>
      <w:pPr>
        <w:ind w:firstLine="640" w:firstLineChars="200"/>
        <w:rPr>
          <w:rFonts w:hint="eastAsia" w:ascii="仿宋_GB2312" w:hAnsi="等线"/>
        </w:rPr>
      </w:pPr>
      <w:r>
        <w:rPr>
          <w:rFonts w:hint="eastAsia" w:ascii="仿宋_GB2312" w:hAnsi="等线"/>
        </w:rPr>
        <w:t>2.3.1通讯方式：RS485、WIFI、云联网等多种方式。</w:t>
      </w:r>
    </w:p>
    <w:p>
      <w:pPr>
        <w:ind w:firstLine="640" w:firstLineChars="200"/>
        <w:rPr>
          <w:rFonts w:hint="eastAsia" w:ascii="仿宋_GB2312" w:hAnsi="等线"/>
        </w:rPr>
      </w:pPr>
      <w:r>
        <w:rPr>
          <w:rFonts w:hint="eastAsia" w:ascii="仿宋_GB2312" w:hAnsi="等线"/>
        </w:rPr>
        <w:t xml:space="preserve">2.3.2远程数据交换：具备远程仪器组网数据交换功能，满足仪器与云端的数据交换。 </w:t>
      </w:r>
    </w:p>
    <w:p>
      <w:pPr>
        <w:ind w:firstLine="640" w:firstLineChars="200"/>
        <w:rPr>
          <w:rFonts w:hint="eastAsia" w:ascii="仿宋_GB2312" w:hAnsi="等线"/>
        </w:rPr>
      </w:pPr>
      <w:r>
        <w:rPr>
          <w:rFonts w:hint="eastAsia" w:ascii="仿宋_GB2312" w:hAnsi="等线"/>
        </w:rPr>
        <w:t>2.3.3操作方式：≥7寸触摸屏控制，可升级远程PC数据云联网。</w:t>
      </w:r>
    </w:p>
    <w:p>
      <w:pPr>
        <w:adjustRightInd/>
        <w:ind w:firstLine="640" w:firstLineChars="200"/>
        <w:rPr>
          <w:rFonts w:ascii="黑体" w:hAnsi="黑体" w:eastAsia="黑体" w:cs="黑体"/>
          <w:szCs w:val="32"/>
        </w:rPr>
      </w:pPr>
      <w:r>
        <w:rPr>
          <w:rFonts w:hint="eastAsia" w:ascii="黑体" w:hAnsi="黑体" w:eastAsia="黑体" w:cs="黑体"/>
          <w:szCs w:val="32"/>
        </w:rPr>
        <w:t>二</w:t>
      </w:r>
      <w:r>
        <w:rPr>
          <w:rFonts w:hint="eastAsia" w:ascii="黑体" w:hAnsi="黑体" w:eastAsia="黑体" w:cs="黑体"/>
          <w:color w:val="000000"/>
          <w:kern w:val="0"/>
          <w:szCs w:val="32"/>
        </w:rPr>
        <w:t>、</w:t>
      </w:r>
      <w:r>
        <w:rPr>
          <w:rFonts w:hint="eastAsia" w:ascii="黑体" w:hAnsi="黑体" w:eastAsia="黑体" w:cs="黑体"/>
          <w:szCs w:val="32"/>
        </w:rPr>
        <w:t>净气型酸碱柜</w:t>
      </w:r>
    </w:p>
    <w:p>
      <w:pPr>
        <w:widowControl/>
        <w:ind w:firstLine="660"/>
        <w:jc w:val="left"/>
        <w:rPr>
          <w:rFonts w:hint="eastAsia" w:ascii="仿宋_GB2312" w:hAnsi="等线" w:cs="Times New Roman"/>
          <w:szCs w:val="32"/>
        </w:rPr>
      </w:pPr>
      <w:r>
        <w:rPr>
          <w:rFonts w:hint="eastAsia" w:ascii="仿宋_GB2312" w:hAnsi="等线" w:cs="Times New Roman"/>
          <w:b/>
          <w:bCs/>
          <w:szCs w:val="32"/>
        </w:rPr>
        <w:t>1.功能要求：</w:t>
      </w:r>
      <w:r>
        <w:rPr>
          <w:rFonts w:hint="eastAsia" w:ascii="仿宋_GB2312" w:hAnsi="等线" w:cs="Times New Roman"/>
          <w:szCs w:val="32"/>
        </w:rPr>
        <w:t>用于存储无机液体及固体化学试剂过程中产生的有毒有害气体的过滤，净化室内空气，对实验室及实验人员提供有效保护的安全防护。</w:t>
      </w:r>
    </w:p>
    <w:p>
      <w:pPr>
        <w:widowControl/>
        <w:ind w:firstLine="660"/>
        <w:jc w:val="left"/>
        <w:rPr>
          <w:rFonts w:hint="eastAsia" w:ascii="仿宋_GB2312" w:hAnsi="等线" w:cs="Times New Roman"/>
          <w:b/>
          <w:szCs w:val="32"/>
        </w:rPr>
      </w:pPr>
      <w:r>
        <w:rPr>
          <w:rFonts w:hint="eastAsia" w:ascii="仿宋_GB2312" w:hAnsi="等线" w:cs="Times New Roman"/>
          <w:b/>
          <w:szCs w:val="32"/>
        </w:rPr>
        <w:t>2.性能要求：</w:t>
      </w:r>
    </w:p>
    <w:p>
      <w:pPr>
        <w:ind w:firstLine="640" w:firstLineChars="200"/>
        <w:rPr>
          <w:rFonts w:ascii="仿宋_GB2312" w:hAnsi="等线" w:cs="Times New Roman"/>
          <w:szCs w:val="32"/>
        </w:rPr>
      </w:pPr>
      <w:r>
        <w:rPr>
          <w:rFonts w:hint="eastAsia" w:ascii="仿宋_GB2312" w:hAnsi="等线" w:cs="Times New Roman"/>
          <w:szCs w:val="32"/>
        </w:rPr>
        <w:t>2.1依据标准GB/T7702.7-2023,所采用的活性炭碘吸附值须大于1100mg/g。</w:t>
      </w:r>
    </w:p>
    <w:p>
      <w:pPr>
        <w:widowControl/>
        <w:ind w:firstLine="660"/>
        <w:jc w:val="left"/>
        <w:rPr>
          <w:rFonts w:hint="eastAsia" w:ascii="仿宋_GB2312" w:hAnsi="等线" w:cs="Times New Roman"/>
          <w:szCs w:val="32"/>
        </w:rPr>
      </w:pPr>
      <w:r>
        <w:rPr>
          <w:rFonts w:hint="eastAsia" w:ascii="仿宋_GB2312" w:hAnsi="等线" w:cs="Times New Roman"/>
          <w:szCs w:val="32"/>
        </w:rPr>
        <w:t>2.2过滤效果及性能需通过过滤器性能验证机构的测试报告。</w:t>
      </w:r>
    </w:p>
    <w:p>
      <w:pPr>
        <w:ind w:firstLine="640" w:firstLineChars="200"/>
        <w:rPr>
          <w:rFonts w:ascii="仿宋_GB2312" w:hAnsi="等线" w:cs="Times New Roman"/>
          <w:szCs w:val="32"/>
        </w:rPr>
      </w:pPr>
      <w:r>
        <w:rPr>
          <w:rFonts w:hint="eastAsia" w:ascii="仿宋_GB2312" w:hAnsi="等线" w:cs="Times New Roman"/>
          <w:szCs w:val="32"/>
        </w:rPr>
        <w:t>2.3为保证使用的安全，该柜体材质要求为≥10mm厚PP材质，应专门为净气产品设计内部高度不应低于1670mm，不能使用普通PP柜体改装或拼接，柜体整机符合《GB 4943.1-2011信息技术设备安全第1 部分:通用要求》的防火阻燃要求。柜体防护等级：IP54，耐腐蚀性，整机符合《GB/T 6461-2002 金属基体上金属和其它无机覆盖层经腐蚀试验后的试样和试件的评级》要求。须提供国家认监委认可的检测（检验）机构出具的有效检测（检验）报告复印件佐证。</w:t>
      </w:r>
    </w:p>
    <w:p>
      <w:pPr>
        <w:widowControl/>
        <w:ind w:firstLine="660"/>
        <w:jc w:val="left"/>
        <w:rPr>
          <w:rFonts w:hint="eastAsia" w:ascii="仿宋_GB2312" w:hAnsi="等线" w:cs="Times New Roman"/>
          <w:szCs w:val="32"/>
        </w:rPr>
      </w:pPr>
      <w:r>
        <w:rPr>
          <w:rFonts w:hint="eastAsia" w:ascii="仿宋_GB2312" w:hAnsi="等线" w:cs="Times New Roman"/>
          <w:szCs w:val="32"/>
        </w:rPr>
        <w:t>2.4任务实时操作系统，可不定期更新或升级功能，让操作更加智能化。</w:t>
      </w:r>
    </w:p>
    <w:p>
      <w:pPr>
        <w:widowControl/>
        <w:ind w:firstLine="660"/>
        <w:jc w:val="left"/>
        <w:rPr>
          <w:rFonts w:hint="eastAsia" w:ascii="仿宋_GB2312" w:hAnsi="等线" w:cs="Times New Roman"/>
          <w:szCs w:val="32"/>
        </w:rPr>
      </w:pPr>
      <w:r>
        <w:rPr>
          <w:rFonts w:hint="eastAsia" w:ascii="仿宋_GB2312" w:hAnsi="等线" w:cs="Times New Roman"/>
          <w:szCs w:val="32"/>
        </w:rPr>
        <w:t>2.5动力部分采用进口风机，距离设备1m内产生的噪声应≤47dB、换气次数不小于260次/小时。</w:t>
      </w:r>
    </w:p>
    <w:p>
      <w:pPr>
        <w:widowControl/>
        <w:ind w:firstLine="660"/>
        <w:jc w:val="left"/>
        <w:rPr>
          <w:rFonts w:hint="eastAsia" w:ascii="仿宋_GB2312" w:hAnsi="等线" w:cs="Times New Roman"/>
          <w:szCs w:val="32"/>
        </w:rPr>
      </w:pPr>
      <w:r>
        <w:rPr>
          <w:rFonts w:hint="eastAsia" w:ascii="仿宋_GB2312" w:hAnsi="等线" w:cs="Times New Roman"/>
          <w:szCs w:val="32"/>
        </w:rPr>
        <w:t>2.6电器部分与外漏金属其绝缘电阻大于2兆欧同时具有断电保护功能（需提供第三方检测报告）。</w:t>
      </w:r>
    </w:p>
    <w:p>
      <w:pPr>
        <w:widowControl/>
        <w:ind w:firstLine="660"/>
        <w:jc w:val="left"/>
        <w:rPr>
          <w:rFonts w:hint="eastAsia" w:ascii="仿宋_GB2312" w:hAnsi="等线" w:cs="Times New Roman"/>
          <w:szCs w:val="32"/>
        </w:rPr>
      </w:pPr>
      <w:r>
        <w:rPr>
          <w:rFonts w:hint="eastAsia" w:ascii="仿宋_GB2312" w:hAnsi="等线" w:cs="Times New Roman"/>
          <w:szCs w:val="32"/>
        </w:rPr>
        <w:t>2.7采用无刷变频风机，寿命大于60000小时，开门时自动变频控制风机转速，减少柜内气体外泄，具有手动调节功能。</w:t>
      </w:r>
    </w:p>
    <w:p>
      <w:pPr>
        <w:widowControl/>
        <w:ind w:firstLine="660"/>
        <w:jc w:val="left"/>
        <w:rPr>
          <w:rFonts w:ascii="仿宋_GB2312" w:hAnsi="等线" w:cs="Times New Roman"/>
          <w:szCs w:val="32"/>
        </w:rPr>
      </w:pPr>
      <w:r>
        <w:rPr>
          <w:rFonts w:hint="eastAsia" w:ascii="仿宋_GB2312" w:hAnsi="等线" w:cs="Times New Roman"/>
          <w:szCs w:val="32"/>
        </w:rPr>
        <w:t>2.8为减少柜内气体涡流及吸附死体积，避免对原料中间体造成污染，滤芯有效吸附效面积不得小于 0.3㎡，不能拼装，且单块滤芯重量不低于12kg的有效整体，在运行中有更换提示和运行状况显示。</w:t>
      </w:r>
    </w:p>
    <w:p>
      <w:pPr>
        <w:widowControl/>
        <w:jc w:val="left"/>
        <w:rPr>
          <w:rFonts w:ascii="仿宋_GB2312" w:hAnsi="等线" w:cs="Times New Roman"/>
          <w:szCs w:val="32"/>
        </w:rPr>
      </w:pPr>
      <w:r>
        <w:rPr>
          <w:rFonts w:hint="eastAsia" w:ascii="仿宋_GB2312" w:hAnsi="等线" w:cs="Times New Roman"/>
          <w:szCs w:val="32"/>
        </w:rPr>
        <w:t xml:space="preserve">   </w:t>
      </w:r>
      <w:r>
        <w:rPr>
          <w:rFonts w:hint="eastAsia" w:ascii="仿宋_GB2312" w:hAnsi="等线" w:cs="Times New Roman"/>
          <w:b/>
          <w:bCs/>
          <w:szCs w:val="32"/>
        </w:rPr>
        <w:t xml:space="preserve"> </w:t>
      </w:r>
      <w:r>
        <w:rPr>
          <w:rFonts w:hint="eastAsia" w:ascii="仿宋_GB2312" w:hAnsi="等线" w:cs="Times New Roman"/>
          <w:bCs/>
          <w:szCs w:val="32"/>
        </w:rPr>
        <w:t>2.9</w:t>
      </w:r>
      <w:r>
        <w:rPr>
          <w:rFonts w:hint="eastAsia" w:ascii="仿宋_GB2312" w:hAnsi="等线" w:cs="Times New Roman"/>
          <w:szCs w:val="32"/>
        </w:rPr>
        <w:t>由于用于存放化学品，涉及到实验室人员安全及消防安全，投标产品需保险机构对产品承保，提供针对第三者公众责任险，并提供保险公司保单证明。</w:t>
      </w:r>
    </w:p>
    <w:p>
      <w:pPr>
        <w:widowControl/>
        <w:jc w:val="left"/>
        <w:rPr>
          <w:rFonts w:ascii="仿宋_GB2312" w:hAnsi="等线" w:cs="Times New Roman"/>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 w:name="Arial">
    <w:panose1 w:val="020B0604020202020204"/>
    <w:charset w:val="00"/>
    <w:family w:val="decorative"/>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楷体_GB2312">
    <w:panose1 w:val="02010609030101010101"/>
    <w:charset w:val="86"/>
    <w:family w:val="swiss"/>
    <w:pitch w:val="default"/>
    <w:sig w:usb0="00000001" w:usb1="080E0000" w:usb2="00000000" w:usb3="00000000" w:csb0="00040000" w:csb1="00000000"/>
  </w:font>
  <w:font w:name="Calibri Light">
    <w:panose1 w:val="020F0302020204030204"/>
    <w:charset w:val="00"/>
    <w:family w:val="decorative"/>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NWFjZTYwYTc2MzllZGM2MWI1MzdmM2FjYTlhZTMyZmMifQ=="/>
  </w:docVars>
  <w:rsids>
    <w:rsidRoot w:val="51FD23F5"/>
    <w:rsid w:val="001323A5"/>
    <w:rsid w:val="00395FCF"/>
    <w:rsid w:val="00616432"/>
    <w:rsid w:val="00B65E4D"/>
    <w:rsid w:val="00D721D7"/>
    <w:rsid w:val="00DA60BA"/>
    <w:rsid w:val="00DF0320"/>
    <w:rsid w:val="00E9765F"/>
    <w:rsid w:val="0457217B"/>
    <w:rsid w:val="05EE18C3"/>
    <w:rsid w:val="094A78D2"/>
    <w:rsid w:val="0DB0163D"/>
    <w:rsid w:val="0EDE466C"/>
    <w:rsid w:val="134E5564"/>
    <w:rsid w:val="14053F87"/>
    <w:rsid w:val="1DBD263A"/>
    <w:rsid w:val="26E93BFD"/>
    <w:rsid w:val="2D4A4C92"/>
    <w:rsid w:val="310A1AE9"/>
    <w:rsid w:val="3575111C"/>
    <w:rsid w:val="35F75E1F"/>
    <w:rsid w:val="3B85240F"/>
    <w:rsid w:val="3E51302E"/>
    <w:rsid w:val="406A251C"/>
    <w:rsid w:val="40710C38"/>
    <w:rsid w:val="446A7039"/>
    <w:rsid w:val="45600E45"/>
    <w:rsid w:val="489B765E"/>
    <w:rsid w:val="51FD23F5"/>
    <w:rsid w:val="52603BEF"/>
    <w:rsid w:val="5A415969"/>
    <w:rsid w:val="5BBF3C60"/>
    <w:rsid w:val="5DBA328D"/>
    <w:rsid w:val="5E07311D"/>
    <w:rsid w:val="61DB29BB"/>
    <w:rsid w:val="6D5E670D"/>
    <w:rsid w:val="711E0543"/>
    <w:rsid w:val="73374E73"/>
    <w:rsid w:val="734E6905"/>
    <w:rsid w:val="742D0BE7"/>
    <w:rsid w:val="752C39C4"/>
    <w:rsid w:val="76916F8C"/>
    <w:rsid w:val="77170C1D"/>
    <w:rsid w:val="776B1090"/>
    <w:rsid w:val="797B4F5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宋体" w:hAnsi="宋体" w:eastAsia="仿宋_GB2312" w:cstheme="minorBidi"/>
      <w:kern w:val="2"/>
      <w:sz w:val="32"/>
      <w:szCs w:val="31"/>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0"/>
    <w:pPr>
      <w:keepNext/>
      <w:keepLines/>
      <w:spacing w:line="413" w:lineRule="auto"/>
      <w:outlineLvl w:val="1"/>
    </w:pPr>
    <w:rPr>
      <w:rFonts w:ascii="Arial" w:hAnsi="Arial" w:eastAsia="黑体"/>
      <w:b/>
    </w:rPr>
  </w:style>
  <w:style w:type="paragraph" w:styleId="4">
    <w:name w:val="heading 3"/>
    <w:basedOn w:val="1"/>
    <w:next w:val="1"/>
    <w:unhideWhenUsed/>
    <w:qFormat/>
    <w:uiPriority w:val="0"/>
    <w:pPr>
      <w:keepNext/>
      <w:keepLines/>
      <w:spacing w:line="413" w:lineRule="auto"/>
      <w:outlineLvl w:val="2"/>
    </w:pPr>
    <w:rPr>
      <w:b/>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character" w:styleId="6">
    <w:name w:val="Hyperlink"/>
    <w:basedOn w:val="5"/>
    <w:qFormat/>
    <w:uiPriority w:val="0"/>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9">
    <w:name w:val="1及标题"/>
    <w:basedOn w:val="2"/>
    <w:qFormat/>
    <w:uiPriority w:val="0"/>
    <w:pPr>
      <w:spacing w:line="400" w:lineRule="exact"/>
      <w:jc w:val="center"/>
    </w:pPr>
    <w:rPr>
      <w:rFonts w:ascii="黑体" w:hAnsi="黑体" w:eastAsia="黑体" w:cs="Times New Roman"/>
      <w:b w:val="0"/>
      <w:bCs/>
      <w:sz w:val="36"/>
      <w:szCs w:val="36"/>
    </w:rPr>
  </w:style>
  <w:style w:type="paragraph" w:customStyle="1" w:styleId="10">
    <w:name w:val="论文二级标题"/>
    <w:basedOn w:val="3"/>
    <w:qFormat/>
    <w:uiPriority w:val="0"/>
    <w:pPr>
      <w:spacing w:line="400" w:lineRule="exact"/>
    </w:pPr>
    <w:rPr>
      <w:rFonts w:ascii="Times New Roman" w:hAnsi="Times New Roman" w:cs="Times New Roman"/>
      <w:b w:val="0"/>
      <w:bCs/>
      <w:sz w:val="30"/>
      <w:szCs w:val="30"/>
    </w:rPr>
  </w:style>
  <w:style w:type="paragraph" w:customStyle="1" w:styleId="11">
    <w:name w:val="论文三级"/>
    <w:basedOn w:val="4"/>
    <w:qFormat/>
    <w:uiPriority w:val="0"/>
    <w:pPr>
      <w:spacing w:line="400" w:lineRule="exact"/>
    </w:pPr>
    <w:rPr>
      <w:rFonts w:ascii="黑体" w:hAnsi="黑体" w:eastAsia="黑体" w:cs="黑体"/>
      <w:b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460</Words>
  <Characters>2622</Characters>
  <Lines>21</Lines>
  <Paragraphs>6</Paragraphs>
  <TotalTime>0</TotalTime>
  <ScaleCrop>false</ScaleCrop>
  <LinksUpToDate>false</LinksUpToDate>
  <CharactersWithSpaces>3076</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2025-06-24T13:12:00Z</dcterms:created>
  <dc:creator>数经春春</dc:creator>
  <cp:lastModifiedBy>Administrator</cp:lastModifiedBy>
  <cp:lastPrinted>2026-09-03T01:00:50Z</cp:lastPrinted>
  <dcterms:modified xsi:type="dcterms:W3CDTF">2026-09-03T06:43:19Z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E676B482A8F24FA3BFAA225F3BDDFF8E_13</vt:lpwstr>
  </property>
  <property fmtid="{D5CDD505-2E9C-101B-9397-08002B2CF9AE}" pid="4" name="KSOTemplateDocerSaveRecord">
    <vt:lpwstr>eyJoZGlkIjoiNzlkM2IwMWVhMWExMGU4OWM3ZGQ4YzA3MzUwMWUzOTMiLCJ1c2VySWQiOiI0MzAxMzE0MzEifQ==</vt:lpwstr>
  </property>
</Properties>
</file>