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C3AF5">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val="0"/>
          <w:i w:val="0"/>
          <w:caps w:val="0"/>
          <w:color w:val="auto"/>
          <w:spacing w:val="0"/>
          <w:kern w:val="0"/>
          <w:sz w:val="44"/>
          <w:szCs w:val="44"/>
          <w:highlight w:val="none"/>
          <w:u w:val="none"/>
          <w:lang w:val="en-US" w:eastAsia="zh-CN" w:bidi="ar"/>
        </w:rPr>
      </w:pPr>
    </w:p>
    <w:p w14:paraId="1CE27F42">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auto"/>
        <w:rPr>
          <w:rFonts w:hint="default" w:ascii="黑体" w:hAnsi="黑体" w:eastAsia="黑体" w:cs="黑体"/>
          <w:b w:val="0"/>
          <w:bCs/>
          <w:i w:val="0"/>
          <w:caps w:val="0"/>
          <w:color w:val="auto"/>
          <w:spacing w:val="0"/>
          <w:kern w:val="0"/>
          <w:sz w:val="36"/>
          <w:szCs w:val="36"/>
          <w:highlight w:val="none"/>
          <w:u w:val="none"/>
          <w:lang w:val="en-US" w:eastAsia="zh-CN" w:bidi="ar"/>
        </w:rPr>
      </w:pPr>
      <w:r>
        <w:rPr>
          <w:rFonts w:hint="eastAsia" w:ascii="黑体" w:hAnsi="黑体" w:eastAsia="黑体" w:cs="黑体"/>
          <w:b w:val="0"/>
          <w:bCs/>
          <w:i w:val="0"/>
          <w:caps w:val="0"/>
          <w:color w:val="auto"/>
          <w:spacing w:val="0"/>
          <w:kern w:val="0"/>
          <w:sz w:val="36"/>
          <w:szCs w:val="36"/>
          <w:highlight w:val="none"/>
          <w:u w:val="none"/>
          <w:lang w:val="en-US" w:eastAsia="zh-CN" w:bidi="ar"/>
        </w:rPr>
        <w:t>附件1</w:t>
      </w:r>
      <w:bookmarkStart w:id="0" w:name="_GoBack"/>
      <w:bookmarkEnd w:id="0"/>
    </w:p>
    <w:p w14:paraId="75B0D11B">
      <w:pPr>
        <w:keepNext w:val="0"/>
        <w:keepLines w:val="0"/>
        <w:pageBreakBefore w:val="0"/>
        <w:widowControl/>
        <w:suppressLineNumbers w:val="0"/>
        <w:kinsoku/>
        <w:wordWrap/>
        <w:overflowPunct/>
        <w:topLinePunct w:val="0"/>
        <w:autoSpaceDE/>
        <w:autoSpaceDN/>
        <w:bidi w:val="0"/>
        <w:adjustRightInd/>
        <w:snapToGrid/>
        <w:spacing w:line="580" w:lineRule="exact"/>
        <w:jc w:val="both"/>
        <w:textAlignment w:val="auto"/>
        <w:rPr>
          <w:rFonts w:hint="eastAsia" w:ascii="黑体" w:hAnsi="黑体" w:eastAsia="黑体" w:cs="黑体"/>
          <w:b w:val="0"/>
          <w:bCs/>
          <w:i w:val="0"/>
          <w:caps w:val="0"/>
          <w:color w:val="auto"/>
          <w:spacing w:val="0"/>
          <w:kern w:val="0"/>
          <w:sz w:val="36"/>
          <w:szCs w:val="36"/>
          <w:highlight w:val="none"/>
          <w:u w:val="none"/>
          <w:lang w:val="en-US" w:eastAsia="zh-CN" w:bidi="ar"/>
        </w:rPr>
      </w:pPr>
    </w:p>
    <w:p w14:paraId="5B37B382">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i w:val="0"/>
          <w:caps w:val="0"/>
          <w:color w:val="auto"/>
          <w:spacing w:val="0"/>
          <w:kern w:val="0"/>
          <w:sz w:val="44"/>
          <w:szCs w:val="44"/>
          <w:highlight w:val="none"/>
          <w:u w:val="none"/>
          <w:lang w:val="en-US" w:eastAsia="zh-CN" w:bidi="ar"/>
        </w:rPr>
      </w:pPr>
      <w:r>
        <w:rPr>
          <w:rFonts w:hint="eastAsia" w:ascii="方正小标宋简体" w:hAnsi="方正小标宋简体" w:eastAsia="方正小标宋简体" w:cs="方正小标宋简体"/>
          <w:b w:val="0"/>
          <w:bCs/>
          <w:i w:val="0"/>
          <w:caps w:val="0"/>
          <w:color w:val="auto"/>
          <w:spacing w:val="0"/>
          <w:kern w:val="0"/>
          <w:sz w:val="44"/>
          <w:szCs w:val="44"/>
          <w:highlight w:val="none"/>
          <w:u w:val="none"/>
          <w:lang w:val="en-US" w:eastAsia="zh-CN" w:bidi="ar"/>
        </w:rPr>
        <w:t>关于实施优化电力营商环境若干措施的</w:t>
      </w:r>
    </w:p>
    <w:p w14:paraId="18E06F39">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i w:val="0"/>
          <w:caps w:val="0"/>
          <w:color w:val="auto"/>
          <w:spacing w:val="0"/>
          <w:kern w:val="0"/>
          <w:sz w:val="44"/>
          <w:szCs w:val="44"/>
          <w:highlight w:val="none"/>
          <w:u w:val="none"/>
          <w:lang w:val="en-US" w:eastAsia="zh-CN" w:bidi="ar"/>
        </w:rPr>
      </w:pPr>
      <w:r>
        <w:rPr>
          <w:rFonts w:hint="eastAsia" w:ascii="方正小标宋简体" w:hAnsi="方正小标宋简体" w:eastAsia="方正小标宋简体" w:cs="方正小标宋简体"/>
          <w:b w:val="0"/>
          <w:bCs/>
          <w:i w:val="0"/>
          <w:caps w:val="0"/>
          <w:color w:val="auto"/>
          <w:spacing w:val="0"/>
          <w:kern w:val="0"/>
          <w:sz w:val="44"/>
          <w:szCs w:val="44"/>
          <w:highlight w:val="none"/>
          <w:u w:val="none"/>
          <w:lang w:val="en-US" w:eastAsia="zh-CN" w:bidi="ar"/>
        </w:rPr>
        <w:t>通  知</w:t>
      </w:r>
    </w:p>
    <w:p w14:paraId="553036EA">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楷体" w:hAnsi="楷体" w:eastAsia="楷体" w:cs="楷体"/>
          <w:b w:val="0"/>
          <w:bCs/>
          <w:i w:val="0"/>
          <w:caps w:val="0"/>
          <w:color w:val="auto"/>
          <w:spacing w:val="0"/>
          <w:kern w:val="0"/>
          <w:sz w:val="32"/>
          <w:szCs w:val="32"/>
          <w:highlight w:val="none"/>
          <w:u w:val="none"/>
          <w:lang w:val="en-US" w:eastAsia="zh-CN" w:bidi="ar"/>
        </w:rPr>
      </w:pPr>
      <w:r>
        <w:rPr>
          <w:rFonts w:hint="eastAsia" w:ascii="楷体" w:hAnsi="楷体" w:eastAsia="楷体" w:cs="楷体"/>
          <w:b w:val="0"/>
          <w:bCs/>
          <w:i w:val="0"/>
          <w:caps w:val="0"/>
          <w:color w:val="auto"/>
          <w:spacing w:val="0"/>
          <w:kern w:val="0"/>
          <w:sz w:val="32"/>
          <w:szCs w:val="32"/>
          <w:highlight w:val="none"/>
          <w:u w:val="none"/>
          <w:lang w:val="en-US" w:eastAsia="zh-CN" w:bidi="ar"/>
        </w:rPr>
        <w:t>（征求意见稿）</w:t>
      </w:r>
    </w:p>
    <w:p w14:paraId="2F479729">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仿宋_GBK" w:hAnsi="方正仿宋_GBK" w:eastAsia="方正仿宋_GBK" w:cs="方正仿宋_GBK"/>
          <w:b w:val="0"/>
          <w:bCs/>
          <w:i w:val="0"/>
          <w:caps w:val="0"/>
          <w:color w:val="auto"/>
          <w:spacing w:val="0"/>
          <w:kern w:val="0"/>
          <w:sz w:val="32"/>
          <w:szCs w:val="32"/>
          <w:highlight w:val="none"/>
          <w:u w:val="none"/>
          <w:lang w:val="en-US" w:eastAsia="zh-CN" w:bidi="ar"/>
        </w:rPr>
      </w:pPr>
    </w:p>
    <w:p w14:paraId="3E0F24B6">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为贯彻落实《国家发展改革委 国家能源局关于深化提升“获得电力”服务水平全面打造现代化用电营商环境的意见》，进一步健全完善“获得电力”工作协调机制，着力解决政企协同过程中的难点堵点问题，提升“获得电力”服务水平，奋力实现供电满意在三明，</w:t>
      </w:r>
      <w:r>
        <w:rPr>
          <w:rFonts w:hint="eastAsia" w:ascii="仿宋_GB2312" w:hAnsi="仿宋_GB2312" w:eastAsia="仿宋_GB2312" w:cs="仿宋_GB2312"/>
          <w:i w:val="0"/>
          <w:iCs w:val="0"/>
          <w:caps w:val="0"/>
          <w:color w:val="auto"/>
          <w:spacing w:val="0"/>
          <w:kern w:val="0"/>
          <w:sz w:val="32"/>
          <w:szCs w:val="32"/>
          <w:highlight w:val="none"/>
          <w:lang w:val="en-US" w:eastAsia="zh-CN" w:bidi="ar"/>
        </w:rPr>
        <w:t>为我市经济社会高质量发展提供有力支撑，特提出如下措施。</w:t>
      </w:r>
    </w:p>
    <w:p w14:paraId="4682D5C1">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1.统筹电力管廊与新建市政道路规划建设。</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新建市政道路项目应当统筹考虑区域电力发展需求，将电力管廊纳入整体规划方案，落实电力管廊与新建市政道路同步规划、同步建设、同步竣工验收。供电企业会同自然资源、住建等单位建立定期会商审查机制，统筹推进管线廊道一体化布设，推动地下空间高效集约利用，构建安全高效、协调有序的城市地下供电管网体系。</w:t>
      </w:r>
    </w:p>
    <w:p w14:paraId="10B9894C">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市发改委、自然资源局、住建局，国网三明供电公司</w:t>
      </w:r>
    </w:p>
    <w:p w14:paraId="57C7308F">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2.提速占掘路行政审批效率。</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在非主次干道上需进行破路的新建电气工程建设项目（50米以内，电压等级不大于10千伏），实行免审备案制（国家法律法规或相关市政主管部门明令制止的情形除外），建设单位在市工程建设项目审批管理系统中进行备案后，可先行破路施工，并在备案后24小时内向相关市政主管部门对接商议道路修复事宜。未备案擅自进行破路施工的，城市管理执法部门可根据《城市道路管理条例》等法律法规进行处罚。鼓励有条件的县（市、区）政府扩大占掘路告知承诺、备案制适用范围，先行先试开展“非禁免批”。</w:t>
      </w:r>
    </w:p>
    <w:p w14:paraId="45930B85">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市发改委、城管局，国网三明供电公司</w:t>
      </w:r>
    </w:p>
    <w:p w14:paraId="3173C92F">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default"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3.推动重点项目“重点办”。</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供电企业会同属地政府建立重点项目清单共享机制，定期共享国家级、省级、市级各类重点项目清单，开通重点项目办电绿色通道，按照项目等级对应设置“项目长+业扩接电服务团队”，推动重点项目早接电、早投产。贯通工改系统与供电企业项目数据共享功能，实现供电企业线上动态获取项目用电需求率50%以上，超前对接用户，主动提供政策咨询、办电指导，适度超前建设配套电网工程，高效保障用户接电需求。</w:t>
      </w:r>
    </w:p>
    <w:p w14:paraId="71D8C470">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仿宋_GB2312" w:hAnsi="仿宋_GB2312" w:eastAsia="仿宋_GB2312" w:cs="仿宋_GB2312"/>
          <w:color w:val="auto"/>
          <w:kern w:val="0"/>
          <w:sz w:val="32"/>
          <w:szCs w:val="32"/>
          <w:highlight w:val="none"/>
          <w:lang w:val="en-US" w:eastAsia="zh-CN" w:bidi="ar"/>
        </w:rPr>
        <w:t>市发改委、工信局、住建局，国网三明供电公司</w:t>
      </w:r>
    </w:p>
    <w:p w14:paraId="2FBF9DA6">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firstLine="643" w:firstLineChars="200"/>
        <w:jc w:val="left"/>
        <w:textAlignment w:val="auto"/>
        <w:rPr>
          <w:rFonts w:hint="default"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4.</w:t>
      </w:r>
      <w:r>
        <w:rPr>
          <w:rFonts w:hint="eastAsia" w:ascii="楷体" w:hAnsi="楷体" w:eastAsia="楷体" w:cs="楷体"/>
          <w:b/>
          <w:bCs/>
          <w:color w:val="auto"/>
          <w:sz w:val="32"/>
          <w:szCs w:val="32"/>
          <w:highlight w:val="none"/>
          <w:u w:val="none"/>
        </w:rPr>
        <w:t>前置对接</w:t>
      </w:r>
      <w:r>
        <w:rPr>
          <w:rFonts w:hint="eastAsia" w:ascii="楷体" w:hAnsi="楷体" w:eastAsia="楷体" w:cs="楷体"/>
          <w:b/>
          <w:bCs/>
          <w:color w:val="auto"/>
          <w:sz w:val="32"/>
          <w:szCs w:val="32"/>
          <w:highlight w:val="none"/>
          <w:u w:val="none"/>
          <w:lang w:val="en-US" w:eastAsia="zh-CN"/>
        </w:rPr>
        <w:t>企业</w:t>
      </w:r>
      <w:r>
        <w:rPr>
          <w:rFonts w:hint="eastAsia" w:ascii="楷体" w:hAnsi="楷体" w:eastAsia="楷体" w:cs="楷体"/>
          <w:b/>
          <w:bCs/>
          <w:color w:val="auto"/>
          <w:sz w:val="32"/>
          <w:szCs w:val="32"/>
          <w:highlight w:val="none"/>
          <w:u w:val="none"/>
        </w:rPr>
        <w:t>用电需求</w:t>
      </w:r>
      <w:r>
        <w:rPr>
          <w:rFonts w:hint="eastAsia" w:ascii="楷体" w:hAnsi="楷体" w:eastAsia="楷体" w:cs="楷体"/>
          <w:b/>
          <w:bCs/>
          <w:color w:val="auto"/>
          <w:sz w:val="32"/>
          <w:szCs w:val="32"/>
          <w:highlight w:val="none"/>
          <w:u w:val="none"/>
          <w:lang w:val="en-US" w:eastAsia="zh-CN"/>
        </w:rPr>
        <w:t>。</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发改、工信、供电企业联合建立年度产业用电需求会商机制，提前将下一年度拟落地项目清单及用电预期信息告知供电企业，助力供电企业在产业园区、负荷集中区域等地适度超前做好电网设施布局。推动供电企业与各县（市、区）政府商务部门联动，将供电要素纳入招商引资体系，超前在项目论证阶段填报并研判用电负荷需求信息，鼓励各县（市、区）政府聘请用电报装规划第三方评估机构，科学精准核定项目用电规模和报装电压等级。</w:t>
      </w:r>
    </w:p>
    <w:p w14:paraId="25B088BA">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_GBK" w:hAnsi="方正仿宋_GBK" w:eastAsia="方正仿宋_GBK" w:cs="方正仿宋_GBK"/>
          <w:i w:val="0"/>
          <w:caps w:val="0"/>
          <w:color w:val="auto"/>
          <w:spacing w:val="0"/>
          <w:kern w:val="0"/>
          <w:sz w:val="32"/>
          <w:szCs w:val="32"/>
          <w:highlight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方正仿宋_GBK" w:hAnsi="方正仿宋_GBK" w:eastAsia="方正仿宋_GBK" w:cs="方正仿宋_GBK"/>
          <w:i w:val="0"/>
          <w:caps w:val="0"/>
          <w:color w:val="auto"/>
          <w:spacing w:val="0"/>
          <w:kern w:val="0"/>
          <w:sz w:val="32"/>
          <w:szCs w:val="32"/>
          <w:highlight w:val="none"/>
          <w:u w:val="none"/>
          <w:lang w:val="en-US" w:eastAsia="zh-CN" w:bidi="ar"/>
        </w:rPr>
        <w:t>市</w:t>
      </w:r>
      <w:r>
        <w:rPr>
          <w:rFonts w:hint="eastAsia" w:ascii="仿宋_GB2312" w:hAnsi="仿宋_GB2312" w:eastAsia="仿宋_GB2312" w:cs="仿宋_GB2312"/>
          <w:color w:val="auto"/>
          <w:kern w:val="0"/>
          <w:sz w:val="32"/>
          <w:szCs w:val="32"/>
          <w:highlight w:val="none"/>
          <w:u w:val="none"/>
          <w:lang w:val="en-US" w:eastAsia="zh-CN" w:bidi="ar"/>
        </w:rPr>
        <w:t>发改委、工信局、商务局，国网三明供电公司</w:t>
      </w:r>
    </w:p>
    <w:p w14:paraId="34A81B3A">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5.强化电力外线工程投资问效。</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鼓励各县（市、区）政府、供电单位与用电企业签订契约协议，约定出资界面、工程实施周期、预计接电时间、企业预期达产时间和产量要求等事项，供电公司做好项目送电后电量增速和增量监测，定期将用电情况汇报各县（市、区）政府，辅助电力外线工程投资决策优化。</w:t>
      </w:r>
    </w:p>
    <w:p w14:paraId="526533BC">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_GBK" w:hAnsi="方正仿宋_GBK" w:eastAsia="方正仿宋_GBK" w:cs="方正仿宋_GBK"/>
          <w:i w:val="0"/>
          <w:caps w:val="0"/>
          <w:color w:val="auto"/>
          <w:spacing w:val="0"/>
          <w:kern w:val="0"/>
          <w:sz w:val="32"/>
          <w:szCs w:val="32"/>
          <w:highlight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方正仿宋_GBK" w:hAnsi="方正仿宋_GBK" w:eastAsia="方正仿宋_GBK" w:cs="方正仿宋_GBK"/>
          <w:i w:val="0"/>
          <w:caps w:val="0"/>
          <w:color w:val="auto"/>
          <w:spacing w:val="0"/>
          <w:kern w:val="0"/>
          <w:sz w:val="32"/>
          <w:szCs w:val="32"/>
          <w:highlight w:val="none"/>
          <w:u w:val="none"/>
          <w:lang w:val="en-US" w:eastAsia="zh-CN" w:bidi="ar"/>
        </w:rPr>
        <w:t>市</w:t>
      </w:r>
      <w:r>
        <w:rPr>
          <w:rFonts w:hint="eastAsia" w:ascii="仿宋_GB2312" w:hAnsi="仿宋_GB2312" w:eastAsia="仿宋_GB2312" w:cs="仿宋_GB2312"/>
          <w:color w:val="auto"/>
          <w:kern w:val="0"/>
          <w:sz w:val="32"/>
          <w:szCs w:val="32"/>
          <w:highlight w:val="none"/>
          <w:u w:val="none"/>
          <w:lang w:val="en-US" w:eastAsia="zh-CN" w:bidi="ar"/>
        </w:rPr>
        <w:t>发改委、工信局，国网三明供电公司</w:t>
      </w:r>
    </w:p>
    <w:p w14:paraId="4C782796">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6.进一步精简办电收资。</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用电报装产权替代证明材料办理经乡镇及以上人民政府审核盖章即可，取消多层级审核要求。产权替代证明办理标准推行“信用+承诺”容缺办电机制，对因历史原因无法提供物业权属证明的经营主体，凭信用承诺书及“信用中国（三明）”无失信记录报告，视同权属证明；经核查无历史欠费且符合安装条件的，即可办理水电气报装业务。</w:t>
      </w:r>
    </w:p>
    <w:p w14:paraId="6AB67177">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default" w:ascii="方正仿宋_GBK" w:hAnsi="方正仿宋_GBK" w:eastAsia="方正仿宋_GBK" w:cs="方正仿宋_GBK"/>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方正仿宋_GBK" w:hAnsi="方正仿宋_GBK" w:eastAsia="方正仿宋_GBK" w:cs="方正仿宋_GBK"/>
          <w:b w:val="0"/>
          <w:bCs/>
          <w:i w:val="0"/>
          <w:caps w:val="0"/>
          <w:color w:val="auto"/>
          <w:spacing w:val="0"/>
          <w:kern w:val="0"/>
          <w:sz w:val="32"/>
          <w:szCs w:val="32"/>
          <w:highlight w:val="none"/>
          <w:u w:val="none"/>
          <w:lang w:val="en-US" w:eastAsia="zh-CN" w:bidi="ar"/>
        </w:rPr>
        <w:t>市自然资源局，国网三明供电公司</w:t>
      </w:r>
    </w:p>
    <w:p w14:paraId="59F5B1FC">
      <w:pPr>
        <w:keepNext w:val="0"/>
        <w:keepLines w:val="0"/>
        <w:pageBreakBefore w:val="0"/>
        <w:widowControl/>
        <w:suppressLineNumbers w:val="0"/>
        <w:kinsoku/>
        <w:wordWrap/>
        <w:overflowPunct/>
        <w:topLinePunct w:val="0"/>
        <w:autoSpaceDE/>
        <w:autoSpaceDN/>
        <w:bidi w:val="0"/>
        <w:adjustRightInd/>
        <w:snapToGrid/>
        <w:spacing w:line="580" w:lineRule="exact"/>
        <w:ind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7.拓展“三零”服务便民模式。</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供电企业会同属地政府定期收集春灌秋收、炒茶烤烟等季节性、临时性、流动性用电场景需求，共同做好`便民接电点规划建设，每年度完成50处便民接电点改造投运计划，优先在茶叶加工集中区、烤烟基地、农田连片灌溉区域布设标准化便民接电点位，通过“扫码用电”等模式为群众提供免报装、快用电服务，助力激发消费活力，支持乡村振兴发展。</w:t>
      </w:r>
    </w:p>
    <w:p w14:paraId="15F89653">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default" w:ascii="方正仿宋_GBK" w:hAnsi="方正仿宋_GBK" w:eastAsia="方正仿宋_GBK" w:cs="方正仿宋_GBK"/>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责任单位：</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市农业农村局、国网三明供电公司</w:t>
      </w:r>
    </w:p>
    <w:p w14:paraId="372E76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auto"/>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pPr>
      <w:r>
        <w:rPr>
          <w:rFonts w:hint="eastAsia" w:ascii="楷体" w:hAnsi="楷体" w:eastAsia="楷体" w:cs="楷体"/>
          <w:b/>
          <w:bCs/>
          <w:color w:val="auto"/>
          <w:sz w:val="32"/>
          <w:szCs w:val="32"/>
          <w:highlight w:val="none"/>
          <w:u w:val="none"/>
          <w:lang w:val="en-US" w:eastAsia="zh-CN"/>
        </w:rPr>
        <w:t>8.推动政企网格联动服务。</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以现有供电服务网格和政务管理网格为基础，全面推行“电力客户经理+政务网格员”结对服务模式，每季度开展</w:t>
      </w:r>
      <w:r>
        <w:rPr>
          <w:rFonts w:hint="default" w:ascii="仿宋_GB2312" w:hAnsi="仿宋_GB2312" w:eastAsia="仿宋_GB2312" w:cs="仿宋_GB2312"/>
          <w:b w:val="0"/>
          <w:bCs/>
          <w:i w:val="0"/>
          <w:caps w:val="0"/>
          <w:color w:val="auto"/>
          <w:spacing w:val="0"/>
          <w:kern w:val="0"/>
          <w:sz w:val="32"/>
          <w:szCs w:val="32"/>
          <w:highlight w:val="none"/>
          <w:u w:val="none"/>
          <w:lang w:val="en-US" w:eastAsia="zh-CN" w:bidi="ar"/>
        </w:rPr>
        <w:t>联合走访、集中宣传、现场办公、专题培训</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等政企联动服务活动不少于1次，实现信息共享、人员互补、业务协同。规范</w:t>
      </w:r>
      <w:r>
        <w:rPr>
          <w:rFonts w:hint="default" w:ascii="仿宋_GB2312" w:hAnsi="仿宋_GB2312" w:eastAsia="仿宋_GB2312" w:cs="仿宋_GB2312"/>
          <w:b w:val="0"/>
          <w:bCs/>
          <w:i w:val="0"/>
          <w:caps w:val="0"/>
          <w:color w:val="auto"/>
          <w:spacing w:val="0"/>
          <w:kern w:val="0"/>
          <w:sz w:val="32"/>
          <w:szCs w:val="32"/>
          <w:highlight w:val="none"/>
          <w:u w:val="none"/>
          <w:lang w:val="en-US" w:eastAsia="zh-CN" w:bidi="ar"/>
        </w:rPr>
        <w:t>建立服务台账，记录联动过程、问题处理、群众反馈等信息，定期开展服务评估与改进。重点提升城市社区精细化、个性化服务水平，着力补齐农村地区</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电力</w:t>
      </w:r>
      <w:r>
        <w:rPr>
          <w:rFonts w:hint="default" w:ascii="仿宋_GB2312" w:hAnsi="仿宋_GB2312" w:eastAsia="仿宋_GB2312" w:cs="仿宋_GB2312"/>
          <w:b w:val="0"/>
          <w:bCs/>
          <w:i w:val="0"/>
          <w:caps w:val="0"/>
          <w:color w:val="auto"/>
          <w:spacing w:val="0"/>
          <w:kern w:val="0"/>
          <w:sz w:val="32"/>
          <w:szCs w:val="32"/>
          <w:highlight w:val="none"/>
          <w:u w:val="none"/>
          <w:lang w:val="en-US" w:eastAsia="zh-CN" w:bidi="ar"/>
        </w:rPr>
        <w:t>基础设施短板，优化服务网点布局，推广线上办电、远程服务等数字化手段</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，加快构建城乡均等化、一体化供电服务体系。</w:t>
      </w:r>
    </w:p>
    <w:p w14:paraId="0B1F12FA">
      <w:pPr>
        <w:keepNext w:val="0"/>
        <w:keepLines w:val="0"/>
        <w:pageBreakBefore w:val="0"/>
        <w:kinsoku/>
        <w:wordWrap/>
        <w:overflowPunct/>
        <w:topLinePunct w:val="0"/>
        <w:autoSpaceDE/>
        <w:autoSpaceDN/>
        <w:bidi w:val="0"/>
        <w:adjustRightInd/>
        <w:snapToGrid/>
        <w:spacing w:line="580" w:lineRule="exact"/>
        <w:ind w:firstLine="643" w:firstLineChars="200"/>
        <w:jc w:val="left"/>
        <w:textAlignment w:val="auto"/>
        <w:rPr>
          <w:rFonts w:hint="default" w:ascii="方正仿宋_GBK" w:hAnsi="方正仿宋_GBK" w:eastAsia="方正仿宋_GBK" w:cs="方正仿宋_GBK"/>
          <w:i w:val="0"/>
          <w:iCs w:val="0"/>
          <w:caps w:val="0"/>
          <w:color w:val="auto"/>
          <w:spacing w:val="0"/>
          <w:sz w:val="32"/>
          <w:szCs w:val="32"/>
          <w:highlight w:val="none"/>
          <w:shd w:val="clear" w:fill="00FF00"/>
          <w:lang w:val="en-US" w:eastAsia="zh-CN"/>
        </w:rPr>
      </w:pPr>
      <w:r>
        <w:rPr>
          <w:rFonts w:hint="eastAsia" w:ascii="楷体" w:hAnsi="楷体" w:eastAsia="楷体" w:cs="楷体"/>
          <w:b/>
          <w:bCs/>
          <w:color w:val="auto"/>
          <w:sz w:val="32"/>
          <w:szCs w:val="32"/>
          <w:highlight w:val="none"/>
          <w:u w:val="none"/>
          <w:lang w:val="en-US" w:eastAsia="zh-CN"/>
        </w:rPr>
        <w:t>责任单位：</w:t>
      </w:r>
      <w:r>
        <w:rPr>
          <w:rFonts w:hint="eastAsia" w:ascii="仿宋_GB2312" w:hAnsi="仿宋_GB2312" w:eastAsia="仿宋_GB2312" w:cs="仿宋_GB2312"/>
          <w:b w:val="0"/>
          <w:bCs/>
          <w:i w:val="0"/>
          <w:caps w:val="0"/>
          <w:color w:val="auto"/>
          <w:spacing w:val="0"/>
          <w:kern w:val="0"/>
          <w:sz w:val="32"/>
          <w:szCs w:val="32"/>
          <w:highlight w:val="none"/>
          <w:u w:val="none"/>
          <w:lang w:val="en-US" w:eastAsia="zh-CN" w:bidi="ar"/>
        </w:rPr>
        <w:t>市住建局，国网三明供电公司</w:t>
      </w:r>
    </w:p>
    <w:p w14:paraId="7922EBDE">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default" w:ascii="方正仿宋_GBK" w:hAnsi="方正仿宋_GBK" w:eastAsia="方正仿宋_GBK" w:cs="方正仿宋_GBK"/>
          <w:b w:val="0"/>
          <w:bCs/>
          <w:i w:val="0"/>
          <w:caps w:val="0"/>
          <w:color w:val="auto"/>
          <w:spacing w:val="0"/>
          <w:kern w:val="0"/>
          <w:sz w:val="32"/>
          <w:szCs w:val="32"/>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2CEF34-25DF-4B98-99CC-B8E23BFEC4F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1BE5901B-699C-40DC-844B-E9A2D50F4B20}"/>
  </w:font>
  <w:font w:name="楷体">
    <w:panose1 w:val="02010609060101010101"/>
    <w:charset w:val="86"/>
    <w:family w:val="auto"/>
    <w:pitch w:val="default"/>
    <w:sig w:usb0="800002BF" w:usb1="38CF7CFA" w:usb2="00000016" w:usb3="00000000" w:csb0="00040001" w:csb1="00000000"/>
    <w:embedRegular r:id="rId3" w:fontKey="{076D4D7B-A5F2-4283-B323-56BC99E00704}"/>
  </w:font>
  <w:font w:name="方正仿宋_GBK">
    <w:panose1 w:val="03000509000000000000"/>
    <w:charset w:val="86"/>
    <w:family w:val="auto"/>
    <w:pitch w:val="default"/>
    <w:sig w:usb0="00000001" w:usb1="080E0000" w:usb2="00000000" w:usb3="00000000" w:csb0="00040000" w:csb1="00000000"/>
    <w:embedRegular r:id="rId4" w:fontKey="{65C0759F-7BD2-4C99-AF22-45FCCAC49652}"/>
  </w:font>
  <w:font w:name="仿宋_GB2312">
    <w:panose1 w:val="02010609030101010101"/>
    <w:charset w:val="86"/>
    <w:family w:val="auto"/>
    <w:pitch w:val="default"/>
    <w:sig w:usb0="00000001" w:usb1="080E0000" w:usb2="00000000" w:usb3="00000000" w:csb0="00040000" w:csb1="00000000"/>
    <w:embedRegular r:id="rId5" w:fontKey="{8C240D16-6274-4766-A19C-435BAEC5BF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A0939"/>
    <w:rsid w:val="02230124"/>
    <w:rsid w:val="0BE3523F"/>
    <w:rsid w:val="0CB677F4"/>
    <w:rsid w:val="10470572"/>
    <w:rsid w:val="116348E1"/>
    <w:rsid w:val="13C05323"/>
    <w:rsid w:val="1ABC5479"/>
    <w:rsid w:val="1DFA0939"/>
    <w:rsid w:val="20743577"/>
    <w:rsid w:val="20B15B84"/>
    <w:rsid w:val="21C35049"/>
    <w:rsid w:val="22A04AF2"/>
    <w:rsid w:val="24786FC1"/>
    <w:rsid w:val="27E63C9F"/>
    <w:rsid w:val="29564161"/>
    <w:rsid w:val="2CC971DC"/>
    <w:rsid w:val="2FCD3584"/>
    <w:rsid w:val="37821F42"/>
    <w:rsid w:val="3853388A"/>
    <w:rsid w:val="39D875E9"/>
    <w:rsid w:val="3EAE9D2B"/>
    <w:rsid w:val="42DB5C3F"/>
    <w:rsid w:val="479A6968"/>
    <w:rsid w:val="48BF6DF2"/>
    <w:rsid w:val="508C35E1"/>
    <w:rsid w:val="51F041BD"/>
    <w:rsid w:val="54A268EF"/>
    <w:rsid w:val="57122578"/>
    <w:rsid w:val="582460ED"/>
    <w:rsid w:val="5B9462A0"/>
    <w:rsid w:val="5DF04B2E"/>
    <w:rsid w:val="642F21CE"/>
    <w:rsid w:val="64EF6909"/>
    <w:rsid w:val="77CE5F1F"/>
    <w:rsid w:val="7E8E50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1864</Words>
  <Characters>1878</Characters>
  <Lines>0</Lines>
  <Paragraphs>0</Paragraphs>
  <TotalTime>51</TotalTime>
  <ScaleCrop>false</ScaleCrop>
  <LinksUpToDate>false</LinksUpToDate>
  <CharactersWithSpaces>1881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2026-08-10T10:49:00Z</dcterms:created>
  <dc:creator>Administrator</dc:creator>
  <cp:lastModifiedBy>慧萍</cp:lastModifiedBy>
  <cp:lastPrinted>2026-09-17T00:45:00Z</cp:lastPrinted>
  <dcterms:modified xsi:type="dcterms:W3CDTF">2026-09-21T01:47:15Z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4D75F5D0B21F40D0B2477B05DDB809CC_13</vt:lpwstr>
  </property>
  <property fmtid="{D5CDD505-2E9C-101B-9397-08002B2CF9AE}" pid="4" name="KSOTemplateDocerSaveRecord">
    <vt:lpwstr>eyJoZGlkIjoiMDYwMmNhYWFjMmM0NDkyOWVmY2U4MzgyNzY5YjBkMjYiLCJ1c2VySWQiOiI0MDIzMTI5MjQifQ==</vt:lpwstr>
  </property>
</Properties>
</file>