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pacing w:val="11"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pacing w:val="11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color w:val="auto"/>
          <w:spacing w:val="11"/>
          <w:kern w:val="0"/>
          <w:sz w:val="40"/>
          <w:szCs w:val="40"/>
          <w:lang w:val="en-US" w:eastAsia="zh-CN"/>
        </w:rPr>
        <w:t>三明市2026年营商环境提质增效专项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pacing w:val="11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color w:val="auto"/>
          <w:spacing w:val="11"/>
          <w:kern w:val="0"/>
          <w:sz w:val="40"/>
          <w:szCs w:val="40"/>
          <w:lang w:val="en-US" w:eastAsia="zh-CN"/>
        </w:rPr>
        <w:t>行动方案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（征求意见稿）</w:t>
      </w:r>
      <w:bookmarkStart w:id="6" w:name="_GoBack"/>
      <w:bookmarkEnd w:id="6"/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4" w:firstLineChars="200"/>
        <w:jc w:val="both"/>
        <w:textAlignment w:val="auto"/>
        <w:rPr>
          <w:rFonts w:hint="default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为深入贯彻党中央、国务院优化营商环境的决策部署和全省优化营商环境大会、全市优化营商环境暨招商引资工作会议部署要求，落实《福建省2026年优化营商环境行动方案》，加快打造市场化法治化国际化便利化一流营商环境，建设市场主体满意度为取向的能办事、好办事、办成事的“便利三明”，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4" w:firstLineChars="200"/>
        <w:jc w:val="both"/>
        <w:textAlignment w:val="auto"/>
        <w:rPr>
          <w:rFonts w:hint="eastAsia" w:ascii="宋体" w:hAnsi="宋体" w:eastAsia="黑体" w:cs="黑体"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黑体" w:cs="黑体"/>
          <w:color w:val="auto"/>
          <w:spacing w:val="11"/>
          <w:kern w:val="0"/>
          <w:sz w:val="36"/>
          <w:szCs w:val="36"/>
          <w:lang w:eastAsia="zh-CN"/>
        </w:rPr>
        <w:t>一、坚持问题导向，着力解决“五类突出问题”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  <w:t>（一）着力解决公平参与市场竞争问题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1.</w:t>
      </w:r>
      <w:r>
        <w:rPr>
          <w:rFonts w:hint="eastAsia" w:ascii="宋体" w:hAnsi="宋体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开展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隐性壁垒清理攻坚。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健全“审核-处置-跟踪-销号”全流程闭环管理模式，建立隐性壁垒台账动态更新机制，确保问题发现一个、处置一个、销号一个。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（牵头单位：市发改委；责任单位：以下均需市各有关部门，以及各县（市、区）党委和人民政府落实，不再逐一列出）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default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.规范市场</w:t>
      </w:r>
      <w:r>
        <w:rPr>
          <w:rFonts w:hint="eastAsia" w:ascii="宋体" w:hAnsi="宋体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交易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秩序。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健全公平竞争审查工作机制，加强刚性约束。加强对垄断和不正当竞争行为的监管执法，深化整治“内卷式”竞争。持续开展招标投标突出问题系统整治，强化全链条监管，打造规范高效市场。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（牵头单位：市发改委、市场监管局）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default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.</w:t>
      </w:r>
      <w:r>
        <w:rPr>
          <w:rFonts w:hint="eastAsia" w:ascii="宋体" w:hAnsi="宋体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推进公共资源交易改革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推广远程异地评标，实现全市远程异地评标项目占依法必须招标的工程建设项目50%以上。</w:t>
      </w:r>
      <w:r>
        <w:rPr>
          <w:rFonts w:hint="eastAsia" w:ascii="宋体" w:hAnsi="宋体" w:cs="仿宋_GB2312"/>
          <w:b w:val="0"/>
          <w:bCs w:val="0"/>
          <w:color w:val="auto"/>
          <w:spacing w:val="11"/>
          <w:kern w:val="0"/>
          <w:sz w:val="36"/>
          <w:szCs w:val="36"/>
          <w:lang w:val="en-US" w:eastAsia="zh-CN"/>
        </w:rPr>
        <w:t>在房屋市政、交通、水利、信息化等领域，开展智能开标、智能清标等人工智能创新应用，提高服务质效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（牵头单位：市行政服务中心）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  <w:t>（二）着力解决拖欠企业账款问题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1.</w:t>
      </w:r>
      <w:r>
        <w:rPr>
          <w:rFonts w:hint="eastAsia" w:ascii="宋体" w:hAnsi="宋体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持续清理拖欠企业账款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。</w:t>
      </w:r>
      <w:r>
        <w:rPr>
          <w:rFonts w:hint="eastAsia" w:ascii="宋体" w:hAnsi="宋体" w:cs="仿宋_GB2312"/>
          <w:b w:val="0"/>
          <w:bCs w:val="0"/>
          <w:color w:val="auto"/>
          <w:spacing w:val="11"/>
          <w:kern w:val="0"/>
          <w:sz w:val="36"/>
          <w:szCs w:val="36"/>
          <w:lang w:val="en-US" w:eastAsia="zh-CN"/>
        </w:rPr>
        <w:t>严格政府投资及采购项目源头治理，未经充分论证或资金来源不确定的，严禁审批；对存在拖欠企业账款的项目单位，依法依规暂停其新建项目审批。加强建设工程过程结算支付，妥善解决未能完工及价款争议等项目的结算支付。加大财政资金支付监管力度，将清理拖欠账款工作纳入出资企业负责人经营业绩考核，推动无分歧欠款动态清零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（牵头单位：市工信局、发改委、财政局、国资委）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2.实施履约全程动态监测提醒。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构建临期、逾期、失信三级预警提示机制，定期通报合同备案及履约检查中发现的问题，推动按时履约。发挥劳动预警监测大数据平台作用，推动工资支付保障制度覆盖全面、执行到位，推动重点领域欠薪问题有效治理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（牵头单位：市工信局、人社局）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default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3.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实施失信联合惩戒。</w:t>
      </w:r>
      <w:r>
        <w:rPr>
          <w:rFonts w:hint="eastAsia" w:ascii="宋体" w:hAnsi="宋体" w:cs="仿宋_GB2312"/>
          <w:b w:val="0"/>
          <w:bCs w:val="0"/>
          <w:color w:val="auto"/>
          <w:spacing w:val="11"/>
          <w:kern w:val="0"/>
          <w:sz w:val="36"/>
          <w:szCs w:val="36"/>
          <w:lang w:val="en-US" w:eastAsia="zh-CN"/>
        </w:rPr>
        <w:t>将拖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欠账款失信信息纳入信用记录，推送至工信、财政、国资、住建、公共资源交易等相关协同部门，在限制财政资金支持、项目审批、招投标参与、评优评先、融资授信等方面开展失信约束惩戒，推动账款清欠见底、源头防范增量。（</w:t>
      </w:r>
      <w:r>
        <w:rPr>
          <w:rFonts w:hint="default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牵头单位：市发改委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  <w:t>（三）着力依法保护经营主体合法权益问题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1.加强知识产权保护运用。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</w:rPr>
        <w:t>深入开展知识产权质押融资“入园惠企”活动，推动银企精准对接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。推进专利密集型产品备案和认定工作。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</w:rPr>
        <w:t>深入开展知识产权执法专项行动，加大对专利侵权纠纷裁决案件办理力度，增强知识产权保护效能。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（牵头单位：市市场监管局）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2.精简规范涉企行政检查。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做好涉企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行政检查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计划，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动态更新并公布涉企行政检查事项清单。深化应用“闽执法”平台，全面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推广“扫码入企”，将现场检查全量纳入监督，对超频次检查等情形进行预警提示，逐步实现检查进度及结果线上实时查询</w:t>
      </w:r>
      <w:r>
        <w:rPr>
          <w:rFonts w:hint="eastAsia" w:ascii="宋体" w:hAnsi="宋体" w:cs="仿宋_GB2312"/>
          <w:strike w:val="0"/>
          <w:dstrike w:val="0"/>
          <w:color w:val="auto"/>
          <w:spacing w:val="11"/>
          <w:kern w:val="0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（牵头单位：市司法局）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3.建立健全歇业备案制度。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依法依规为已登记注册，受自然灾害、公共卫生事件、社会安全事件等因素影响造成经营困难</w:t>
      </w:r>
      <w:r>
        <w:rPr>
          <w:rFonts w:hint="eastAsia" w:ascii="宋体" w:hAnsi="宋体" w:cs="仿宋_GB2312"/>
          <w:strike w:val="0"/>
          <w:dstrike w:val="0"/>
          <w:color w:val="auto"/>
          <w:spacing w:val="11"/>
          <w:kern w:val="0"/>
          <w:sz w:val="36"/>
          <w:szCs w:val="36"/>
          <w:lang w:val="en-US" w:eastAsia="zh-CN"/>
        </w:rPr>
        <w:t>的，可以自主决定在一定时期内歇业。上市股份有限公司和涉及登记前置审批事项的市场主体，取得相关主管部门批准后可办理歇业备案。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（牵头单位：市市场监管局）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  <w:t>（四）着力解决企业创新生态问题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1.增强科技创新动能。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开展规上工业企业研发活动“全覆盖两提升”行动，力争规上工业企业研发投入覆盖面达40%以上，高新技术企业达到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280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家,其中规上高企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180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家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支持企业积极参与“揭榜挂帅”，加强重点产业链“卡脖子”技术协同攻关，挖掘重点龙头企业大额服务交易、重点项目，力争技术合同登记总额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达到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5亿元以上。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（牵头单位：市科技局）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2.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搭建平台</w:t>
      </w:r>
      <w:r>
        <w:rPr>
          <w:rFonts w:hint="eastAsia" w:ascii="宋体" w:hAnsi="宋体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借智聚力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深化山海协作,推动“产业飞地”泉三园合资公司运营，落地项目3个以上，建设海西分院（三明）科创成果转化基地项目，推进“泉州研发+三明制造”创新协同。实施“人才兴链”行动，加快氟新材料、现代种业、生物医药、钢铁与装备制造等产业链特聘专家团试点建设，打造县域特色产业“一县一链一团”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（牵头单位：市发改委、科技局、工信局、商务局）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方正楷体_GBK" w:cs="方正楷体_GBK"/>
          <w:b/>
          <w:bCs/>
          <w:color w:val="auto"/>
          <w:spacing w:val="11"/>
          <w:kern w:val="0"/>
          <w:sz w:val="36"/>
          <w:szCs w:val="36"/>
          <w:lang w:eastAsia="zh-CN"/>
        </w:rPr>
        <w:t>（五）着力解决惠企政策实效问题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1.优化全流程服务。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highlight w:val="none"/>
          <w:lang w:eastAsia="zh-CN"/>
        </w:rPr>
        <w:t>推动全市各级惠企政策全量上线“一网通办”。普惠性政策原则上纳入“免申即享”。简化非必要的专家评审，探索批量审批模式，推动政策红利直达快享。分类制定“惠企政策集成包”，依托街镇、园区楼宇推动政策触达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（牵头单位：市发改委、农业局、工信局、商务局）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2.提高惠企政策精准性。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开展全链条产业政策梳理，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u w:val="none"/>
          <w:lang w:val="en-US" w:eastAsia="zh-CN" w:bidi="ar-SA"/>
        </w:rPr>
        <w:t>用好惠企政策落实成效评估结果，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严格落实规范性文件制定要求，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u w:val="none"/>
          <w:lang w:val="en-US" w:eastAsia="zh-CN" w:bidi="ar-SA"/>
        </w:rPr>
        <w:t>提高政策协同性。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u w:val="none"/>
          <w:lang w:val="en-US" w:eastAsia="zh-CN" w:bidi="ar-SA"/>
        </w:rPr>
        <w:t>动态更新政策库、企业库，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u w:val="none"/>
          <w:lang w:val="en-US" w:eastAsia="zh-CN" w:bidi="ar-SA"/>
        </w:rPr>
        <w:t>推动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u w:val="none"/>
          <w:lang w:val="en-US" w:eastAsia="zh-CN" w:bidi="ar-SA"/>
        </w:rPr>
        <w:t>惠企政策与企业需求精准匹配。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（牵头单位：市发改委）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4" w:firstLineChars="200"/>
        <w:jc w:val="both"/>
        <w:textAlignment w:val="auto"/>
        <w:rPr>
          <w:rFonts w:hint="eastAsia" w:ascii="宋体" w:hAnsi="宋体" w:eastAsia="黑体" w:cs="黑体"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黑体" w:cs="黑体"/>
          <w:color w:val="auto"/>
          <w:spacing w:val="11"/>
          <w:kern w:val="0"/>
          <w:sz w:val="36"/>
          <w:szCs w:val="36"/>
          <w:lang w:eastAsia="zh-CN"/>
        </w:rPr>
        <w:t>二、坚持目标导向，优化提升“四大环境</w:t>
      </w:r>
      <w:bookmarkStart w:id="0" w:name="heading_4"/>
      <w:r>
        <w:rPr>
          <w:rFonts w:hint="eastAsia" w:ascii="宋体" w:hAnsi="宋体" w:eastAsia="黑体" w:cs="黑体"/>
          <w:color w:val="auto"/>
          <w:spacing w:val="11"/>
          <w:kern w:val="0"/>
          <w:sz w:val="36"/>
          <w:szCs w:val="36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23" w:firstLineChars="200"/>
        <w:jc w:val="both"/>
        <w:textAlignment w:val="auto"/>
        <w:rPr>
          <w:rFonts w:hint="eastAsia" w:ascii="宋体" w:hAnsi="宋体" w:eastAsia="楷体" w:cs="楷体"/>
          <w:b/>
          <w:bCs/>
          <w:color w:val="auto"/>
          <w:sz w:val="36"/>
          <w:szCs w:val="36"/>
          <w:u w:val="none"/>
        </w:rPr>
      </w:pP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u w:val="none"/>
        </w:rPr>
        <w:t>（一）</w:t>
      </w: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u w:val="none"/>
          <w:lang w:eastAsia="zh-CN"/>
        </w:rPr>
        <w:t>优化提升</w:t>
      </w: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u w:val="none"/>
        </w:rPr>
        <w:t>高效便捷的政务环境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1.推深审批制度改革。</w:t>
      </w:r>
      <w:r>
        <w:rPr>
          <w:rFonts w:hint="eastAsia" w:ascii="宋体" w:hAnsi="宋体" w:eastAsia="仿宋_GB2312" w:cs="仿宋_GB2312"/>
          <w:b w:val="0"/>
          <w:bCs w:val="0"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推动“无证明城市”建设</w:t>
      </w:r>
      <w:r>
        <w:rPr>
          <w:rFonts w:hint="eastAsia" w:ascii="宋体" w:hAnsi="宋体" w:cs="仿宋_GB2312"/>
          <w:b w:val="0"/>
          <w:bCs w:val="0"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highlight w:val="none"/>
          <w:lang w:eastAsia="zh-CN"/>
        </w:rPr>
        <w:t>严格落实错证、缺证等信息“最多采一次”。</w:t>
      </w:r>
      <w:r>
        <w:rPr>
          <w:rFonts w:hint="eastAsia" w:ascii="宋体" w:hAnsi="宋体" w:eastAsia="仿宋_GB2312" w:cs="仿宋_GB2312"/>
          <w:b w:val="0"/>
          <w:bCs w:val="0"/>
          <w:color w:val="auto"/>
          <w:spacing w:val="11"/>
          <w:kern w:val="0"/>
          <w:sz w:val="36"/>
          <w:szCs w:val="36"/>
          <w:u w:val="none"/>
          <w:lang w:val="en-US" w:eastAsia="zh-CN" w:bidi="ar-SA"/>
        </w:rPr>
        <w:t>完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u w:val="none"/>
          <w:lang w:val="en-US" w:eastAsia="zh-CN" w:bidi="ar-SA"/>
        </w:rPr>
        <w:t>善“小政”智能服务助手智能问答、辅助审批等功能。推进“证照联办”改革，优化企业开办服务，推广电子营业执照，便利市场准入。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对核准类项目实行“一窗受理、集成服务”并联审批模式，提高审批实效。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（牵头单位：市市场监管局、发改委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（数据管理局、数政中心）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2.完善帮办代办服务机制。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highlight w:val="none"/>
          <w:lang w:eastAsia="zh-CN"/>
        </w:rPr>
        <w:t>打造“小明帮办”服务品牌，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建立“帮代办”服务及时响应工作队伍，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highlight w:val="none"/>
          <w:lang w:eastAsia="zh-CN"/>
        </w:rPr>
        <w:t>为省、市、区重点工程建设项目、入驻市（区）工业开发区项目等提供帮办代办服务。开展“企业办事不出园区”服务，为企业提供“点对点”服务。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（牵头单位：市行政服务中心管委会）</w:t>
      </w:r>
      <w:bookmarkStart w:id="1" w:name="heading_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优化外贸发展环境。</w:t>
      </w:r>
      <w:r>
        <w:rPr>
          <w:rFonts w:hint="eastAsia" w:ascii="宋体" w:hAnsi="宋体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加快国家跨境电商综试区建设，打造线上综合服务平台，集成政务、招商、培训等功能，对接省上“单一窗口”，提升服务企业质效。推进线下产业园区建设，在生态工贸区打造集办公、仓储、展示、服务于一体的综合载体，优化外贸产业发展生态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（牵头单位：市商务局、三明海关、市贸促会）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23" w:firstLineChars="200"/>
        <w:jc w:val="both"/>
        <w:textAlignment w:val="auto"/>
        <w:rPr>
          <w:rFonts w:hint="eastAsia" w:ascii="宋体" w:hAnsi="宋体" w:eastAsia="楷体" w:cs="楷体"/>
          <w:b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u w:val="none"/>
        </w:rPr>
        <w:t>（二）</w:t>
      </w: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u w:val="none"/>
          <w:lang w:eastAsia="zh-CN"/>
        </w:rPr>
        <w:t>优化提升</w:t>
      </w: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u w:val="none"/>
        </w:rPr>
        <w:t>保障有力的要素环境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1.优化提升融资服务。</w:t>
      </w:r>
      <w:r>
        <w:rPr>
          <w:rFonts w:hint="eastAsia" w:ascii="宋体" w:hAnsi="宋体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常态化开展产融对接，引导金融机构聚焦科创、民营小微等重点领域，加大信贷投放，力争2026年新增贷款100亿元以上。引导各商业银行试点设立“生物多样性金融特色支行”，推出“生态信用贷”“生态抵质押贷”等绿色金融产品，力争绿色贷款余额增长20%以上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（牵头单位：三明金融监管分局、市人行）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2.强化土地要素保障。</w:t>
      </w:r>
      <w:bookmarkStart w:id="2" w:name="OLE_LINK4"/>
      <w:r>
        <w:rPr>
          <w:rFonts w:hint="eastAsia" w:ascii="宋体" w:hAnsi="宋体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开展低效用地调查，推动低效村庄用地、园区“工改工”等项目，盘活批而未供、闲置土地和低效用地4000亩。</w:t>
      </w:r>
      <w:bookmarkEnd w:id="2"/>
      <w:r>
        <w:rPr>
          <w:rFonts w:hint="eastAsia" w:ascii="宋体" w:hAnsi="宋体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实施增存挂钩机制，将存量土地处置规模作为核定新增用地指标的重要依据，争取新增建设用地计划指标3000亩，优先保障省市重点项目和民生项目用地报批需求。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（牵头单位：市自然资源局）</w:t>
      </w:r>
      <w:bookmarkStart w:id="3" w:name="heading_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加强人才队伍建设。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开展“万名学子强技能”、技能培训基地提质增效、技能竞赛引领、沪明技能人才共育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四大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行动，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健全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技能人才培养体系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围绕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“454”现代化产业体系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开展靶向引才，组织招聘活动不少于100场，征集岗位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1.5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万个以上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。深化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区域协作，争取区域科技特派员人数达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100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人以上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开展金融科特派服务团试点，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优化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县域重点产业发展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环境。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（牵头单位：市人社局、科技局）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23" w:firstLineChars="200"/>
        <w:jc w:val="both"/>
        <w:textAlignment w:val="auto"/>
        <w:rPr>
          <w:rFonts w:hint="eastAsia" w:ascii="宋体" w:hAnsi="宋体" w:eastAsia="楷体" w:cs="楷体"/>
          <w:b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highlight w:val="none"/>
          <w:u w:val="none"/>
        </w:rPr>
        <w:t>（三）</w:t>
      </w: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u w:val="none"/>
          <w:lang w:eastAsia="zh-CN"/>
        </w:rPr>
        <w:t>优化提升</w:t>
      </w: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highlight w:val="none"/>
          <w:u w:val="none"/>
        </w:rPr>
        <w:t>公平透明的法治环境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1.深化“法商益企”专项行动。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完善“五联机制”，开展“司法护航·益企同行”年度主题活动，全年联合走访企业不少于200家，组织“法官讲堂+主题沙龙”不少于12场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制定《三明法务区五年发展规划纲要》,挖掘特色优势，打造一批医改、金改、林改等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重点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领域法律服务品牌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（牵头单位：市法院、市司法局）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2.依法保护企业合法权益。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优化立审执协调机制，对民营企业提起的追索账款案件，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实行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快立、快调、快审、快执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，</w:t>
      </w:r>
      <w:bookmarkStart w:id="4" w:name="OLE_LINK5"/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“活封活扣”措施使用率力争提升至40%以上</w:t>
      </w:r>
      <w:bookmarkEnd w:id="4"/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推行失信预警、宽限期等制度，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提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前告知失信修复条件和程序，视情给予1-3个月宽限期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对本地涉规上企业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、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异地涉企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案件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立案实行提级审核，对涉企大额罚款、收缴、追缴、没收违法所得、非法财物，实行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县区初审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val="en-US" w:eastAsia="zh-CN"/>
        </w:rPr>
        <w:t>+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市级复核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”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机制。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（牵头单位：市法院、公安局）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23" w:firstLineChars="200"/>
        <w:jc w:val="both"/>
        <w:textAlignment w:val="auto"/>
        <w:rPr>
          <w:rFonts w:hint="eastAsia" w:ascii="宋体" w:hAnsi="宋体" w:eastAsia="楷体" w:cs="楷体"/>
          <w:b/>
          <w:bCs/>
          <w:color w:val="auto"/>
          <w:sz w:val="36"/>
          <w:szCs w:val="36"/>
          <w:highlight w:val="none"/>
          <w:u w:val="none"/>
        </w:rPr>
      </w:pPr>
      <w:bookmarkStart w:id="5" w:name="heading_7"/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u w:val="none"/>
          <w:lang w:eastAsia="zh-CN"/>
        </w:rPr>
        <w:t>（四）优化提升</w:t>
      </w:r>
      <w:r>
        <w:rPr>
          <w:rFonts w:hint="eastAsia" w:ascii="宋体" w:hAnsi="宋体" w:eastAsia="楷体" w:cs="楷体"/>
          <w:b/>
          <w:bCs/>
          <w:color w:val="auto"/>
          <w:sz w:val="36"/>
          <w:szCs w:val="36"/>
          <w:highlight w:val="none"/>
          <w:u w:val="none"/>
        </w:rPr>
        <w:t>亲清统一的政商环境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1.积极助企纾困解难。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落实“四通四到”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、支持中小微企业健康发展等工作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机制，</w:t>
      </w:r>
      <w:r>
        <w:rPr>
          <w:rFonts w:hint="eastAsia" w:ascii="宋体" w:hAnsi="宋体" w:eastAsia="仿宋_GB2312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推广</w:t>
      </w:r>
      <w:r>
        <w:rPr>
          <w:rFonts w:hint="eastAsia" w:ascii="宋体" w:hAnsi="宋体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项目服务直通车、</w:t>
      </w:r>
      <w:r>
        <w:rPr>
          <w:rFonts w:hint="eastAsia" w:ascii="宋体" w:hAnsi="宋体" w:eastAsia="仿宋_GB2312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重大项目问题“点单配送”服务</w:t>
      </w:r>
      <w:r>
        <w:rPr>
          <w:rFonts w:hint="eastAsia" w:ascii="宋体" w:hAnsi="宋体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模式</w:t>
      </w:r>
      <w:r>
        <w:rPr>
          <w:rFonts w:hint="eastAsia" w:ascii="宋体" w:hAnsi="宋体" w:eastAsia="仿宋_GB2312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，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常态化开展“我为企业解难题”等活动，</w:t>
      </w:r>
      <w:r>
        <w:rPr>
          <w:rFonts w:hint="eastAsia" w:ascii="宋体" w:hAnsi="宋体" w:eastAsia="仿宋_GB2312" w:cs="仿宋_GB2312"/>
          <w:b w:val="0"/>
          <w:bCs/>
          <w:color w:val="auto"/>
          <w:spacing w:val="0"/>
          <w:w w:val="100"/>
          <w:kern w:val="21"/>
          <w:sz w:val="36"/>
          <w:szCs w:val="36"/>
          <w:highlight w:val="none"/>
          <w:u w:val="none" w:color="auto"/>
          <w:shd w:val="clear" w:color="auto" w:fill="auto"/>
          <w:lang w:val="en-US" w:eastAsia="zh-CN"/>
        </w:rPr>
        <w:t>将“问题清单”变为“成果清单”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（牵头单位：市发改委、工信局）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2.构建亲清政商关系。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深入开展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树立和践行正确政绩观学习教育，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具体化、规范化落实‘三个区分开来’，充分运用规范政商交往行为的意见及指导案例，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引导党员领导干部坦荡与企业家交往。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  <w:lang w:eastAsia="zh-CN"/>
        </w:rPr>
        <w:t>常态化开展“亲清夜话·政企恳谈”等活动，建立商协会与行政执法部门的沟通对话机制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，有效拓展深化政企沟通交流。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（牵头单位：市委组织部、纪委监委、工商联）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4" w:firstLineChars="200"/>
        <w:jc w:val="both"/>
        <w:textAlignment w:val="auto"/>
        <w:rPr>
          <w:rFonts w:hint="eastAsia" w:ascii="宋体" w:hAnsi="宋体" w:eastAsia="黑体" w:cs="黑体"/>
          <w:color w:val="auto"/>
          <w:spacing w:val="11"/>
          <w:kern w:val="0"/>
          <w:sz w:val="36"/>
          <w:szCs w:val="36"/>
          <w:lang w:eastAsia="zh-CN"/>
        </w:rPr>
      </w:pPr>
      <w:r>
        <w:rPr>
          <w:rFonts w:hint="eastAsia" w:ascii="宋体" w:hAnsi="宋体" w:eastAsia="黑体" w:cs="黑体"/>
          <w:color w:val="auto"/>
          <w:spacing w:val="11"/>
          <w:kern w:val="0"/>
          <w:sz w:val="36"/>
          <w:szCs w:val="36"/>
          <w:lang w:eastAsia="zh-CN"/>
        </w:rPr>
        <w:t>三、坚持结果导向，健全完善“三项工作机制”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1.构建数字化监测督导机制。</w:t>
      </w:r>
      <w:r>
        <w:rPr>
          <w:rFonts w:hint="eastAsia" w:ascii="宋体" w:hAnsi="宋体" w:eastAsia="仿宋_GB2312" w:cs="仿宋_GB2312"/>
          <w:color w:val="auto"/>
          <w:sz w:val="36"/>
          <w:szCs w:val="36"/>
        </w:rPr>
        <w:t>用好</w:t>
      </w:r>
      <w:r>
        <w:rPr>
          <w:rFonts w:hint="eastAsia" w:ascii="宋体" w:hAnsi="宋体" w:eastAsia="仿宋_GB2312" w:cs="仿宋_GB2312"/>
          <w:color w:val="auto"/>
          <w:sz w:val="36"/>
          <w:szCs w:val="36"/>
          <w:lang w:eastAsia="zh-CN"/>
        </w:rPr>
        <w:t>三明市营商环境数字化监测督导平台，将</w:t>
      </w:r>
      <w:r>
        <w:rPr>
          <w:rFonts w:hint="eastAsia" w:ascii="宋体" w:hAnsi="宋体" w:cs="仿宋_GB2312"/>
          <w:color w:val="auto"/>
          <w:sz w:val="36"/>
          <w:szCs w:val="36"/>
          <w:lang w:eastAsia="zh-CN"/>
        </w:rPr>
        <w:t>着力解决五类突出问题、优化四大环境</w:t>
      </w:r>
      <w:r>
        <w:rPr>
          <w:rFonts w:hint="eastAsia" w:ascii="宋体" w:hAnsi="宋体" w:eastAsia="仿宋_GB2312" w:cs="仿宋_GB2312"/>
          <w:color w:val="auto"/>
          <w:sz w:val="36"/>
          <w:szCs w:val="36"/>
          <w:lang w:val="en-US" w:eastAsia="zh-CN"/>
        </w:rPr>
        <w:t>重点任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>务完成情况，纳入平台监测范围，</w:t>
      </w:r>
      <w:r>
        <w:rPr>
          <w:rFonts w:hint="eastAsia" w:ascii="宋体" w:hAnsi="宋体"/>
          <w:color w:val="auto"/>
          <w:sz w:val="36"/>
          <w:szCs w:val="36"/>
          <w:lang w:eastAsia="zh-CN"/>
        </w:rPr>
        <w:t>相关情况将作为营商环境“四领一促”考评和年度绩效考评的重要内容</w:t>
      </w:r>
      <w:r>
        <w:rPr>
          <w:rFonts w:hint="eastAsia" w:ascii="宋体" w:hAnsi="宋体"/>
          <w:color w:val="auto"/>
          <w:sz w:val="36"/>
          <w:szCs w:val="36"/>
        </w:rPr>
        <w:t>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（牵头单位：市发改委）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2.完善营商环境</w:t>
      </w:r>
      <w:r>
        <w:rPr>
          <w:rFonts w:hint="eastAsia" w:ascii="宋体" w:hAnsi="宋体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“三大员”</w:t>
      </w: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机制。</w:t>
      </w:r>
      <w:r>
        <w:rPr>
          <w:rFonts w:hint="eastAsia" w:ascii="宋体" w:hAnsi="宋体" w:eastAsia="仿宋_GB2312" w:cs="仿宋_GB2312"/>
          <w:color w:val="auto"/>
          <w:sz w:val="36"/>
          <w:szCs w:val="36"/>
          <w:lang w:val="en-US" w:eastAsia="zh-CN"/>
        </w:rPr>
        <w:t>组织营商环境</w:t>
      </w:r>
      <w:r>
        <w:rPr>
          <w:rFonts w:hint="eastAsia" w:ascii="宋体" w:hAnsi="宋体" w:cs="仿宋_GB2312"/>
          <w:color w:val="auto"/>
          <w:sz w:val="36"/>
          <w:szCs w:val="36"/>
          <w:lang w:val="en-US" w:eastAsia="zh-CN"/>
        </w:rPr>
        <w:t>观察员、体验员、监督员“三大员”</w:t>
      </w:r>
      <w:r>
        <w:rPr>
          <w:rFonts w:hint="eastAsia" w:ascii="宋体" w:hAnsi="宋体" w:eastAsia="仿宋_GB2312" w:cs="仿宋_GB2312"/>
          <w:color w:val="auto"/>
          <w:sz w:val="36"/>
          <w:szCs w:val="36"/>
          <w:lang w:val="en-US" w:eastAsia="zh-CN"/>
        </w:rPr>
        <w:t>分层分类培训，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>开展“神秘体验者”流程体验等各类活动，激活队伍履职尽责积极性。与市人大营商环境联系点、市纪委营商环境监测点形成“网格化”联动，打造统一的“企业需求码”，构建线上线下融合、诉求响应迅速、问题处理高效、结果反馈及时的营商环境诉求处理闭环体系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（牵头单位：市发改委）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67" w:firstLineChars="200"/>
        <w:jc w:val="both"/>
        <w:textAlignment w:val="auto"/>
        <w:rPr>
          <w:rFonts w:hint="eastAsia" w:ascii="宋体" w:hAnsi="宋体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3.健全“一县一品牌，一部门一亮点”工作机制。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</w:rPr>
        <w:t>开展“小切口”创新实践，力争全年有10个以上典型案例被国家或省级推广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。大力拓展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</w:rPr>
        <w:t>信用场景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，加快发展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</w:rPr>
        <w:t>信用经济，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各县（市、区）和市直单位要积极探索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val="en-US" w:eastAsia="zh-CN"/>
        </w:rPr>
        <w:t>1-2个</w:t>
      </w:r>
      <w:r>
        <w:rPr>
          <w:rFonts w:hint="eastAsia" w:ascii="宋体" w:hAnsi="宋体" w:cs="仿宋_GB2312"/>
          <w:color w:val="auto"/>
          <w:spacing w:val="11"/>
          <w:kern w:val="0"/>
          <w:sz w:val="36"/>
          <w:szCs w:val="36"/>
          <w:lang w:eastAsia="zh-CN"/>
        </w:rPr>
        <w:t>特色信用应用场景、信用经济示范项目，</w:t>
      </w:r>
      <w:r>
        <w:rPr>
          <w:rFonts w:hint="eastAsia" w:ascii="宋体" w:hAnsi="宋体" w:eastAsia="仿宋_GB2312" w:cs="仿宋_GB2312"/>
          <w:color w:val="auto"/>
          <w:spacing w:val="11"/>
          <w:kern w:val="0"/>
          <w:sz w:val="36"/>
          <w:szCs w:val="36"/>
        </w:rPr>
        <w:t>力争成功创建全国社会信用体系建设示范区。</w:t>
      </w:r>
      <w:r>
        <w:rPr>
          <w:rFonts w:hint="eastAsia" w:ascii="宋体" w:hAnsi="宋体" w:eastAsia="楷体_GB2312" w:cs="楷体_GB2312"/>
          <w:b/>
          <w:bCs/>
          <w:color w:val="auto"/>
          <w:spacing w:val="11"/>
          <w:kern w:val="0"/>
          <w:sz w:val="36"/>
          <w:szCs w:val="36"/>
          <w:lang w:val="en-US" w:eastAsia="zh-CN"/>
        </w:rPr>
        <w:t>（牵头单位：市发改委）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cs="仿宋_GB2312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cs="仿宋_GB2312"/>
          <w:color w:val="auto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E5131"/>
    <w:rsid w:val="0D4270BA"/>
    <w:rsid w:val="13917C44"/>
    <w:rsid w:val="3F9D1F6A"/>
    <w:rsid w:val="4AFF1A39"/>
    <w:rsid w:val="4B8C5309"/>
    <w:rsid w:val="4C314E25"/>
    <w:rsid w:val="5804308D"/>
    <w:rsid w:val="6DE54922"/>
    <w:rsid w:val="775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u w:val="none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jc w:val="left"/>
    </w:pPr>
    <w:rPr>
      <w:rFonts w:ascii="宋体" w:hAnsi="宋体" w:eastAsia="仿宋_GB2312" w:cs="Times New Roman"/>
      <w:kern w:val="2"/>
      <w:sz w:val="36"/>
      <w:szCs w:val="22"/>
      <w:lang w:val="en-US" w:eastAsia="zh-CN" w:bidi="ar-SA"/>
    </w:rPr>
  </w:style>
  <w:style w:type="paragraph" w:styleId="3">
    <w:name w:val="Balloon Text"/>
    <w:basedOn w:val="1"/>
    <w:next w:val="2"/>
    <w:semiHidden/>
    <w:qFormat/>
    <w:uiPriority w:val="0"/>
    <w:pPr>
      <w:widowControl w:val="0"/>
      <w:adjustRightInd w:val="0"/>
      <w:jc w:val="both"/>
    </w:pPr>
    <w:rPr>
      <w:rFonts w:ascii="Calibri" w:hAnsi="Calibri" w:eastAsia="仿宋_GB2312" w:cs="宋体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adjustRightInd w:val="0"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1"/>
      <w:lang w:val="en-US" w:eastAsia="zh-CN" w:bidi="ar-SA"/>
    </w:rPr>
  </w:style>
  <w:style w:type="paragraph" w:styleId="7">
    <w:name w:val="Body Text First Indent"/>
    <w:qFormat/>
    <w:uiPriority w:val="0"/>
    <w:pPr>
      <w:widowControl w:val="0"/>
      <w:adjustRightInd w:val="0"/>
      <w:spacing w:after="0"/>
      <w:ind w:firstLine="420" w:firstLineChars="100"/>
      <w:jc w:val="both"/>
    </w:pPr>
    <w:rPr>
      <w:rFonts w:ascii="Calibri" w:hAnsi="Calibri" w:eastAsia="宋体" w:cs="Times New Roman"/>
      <w:kern w:val="2"/>
      <w:sz w:val="36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UserStyle_0"/>
    <w:basedOn w:val="12"/>
    <w:next w:val="1"/>
    <w:link w:val="13"/>
    <w:qFormat/>
    <w:uiPriority w:val="0"/>
    <w:pPr>
      <w:widowControl w:val="0"/>
      <w:adjustRightInd w:val="0"/>
      <w:jc w:val="both"/>
    </w:pPr>
    <w:rPr>
      <w:rFonts w:ascii="Calibri" w:hAnsi="Calibri" w:eastAsia="宋体" w:cs="宋体"/>
      <w:kern w:val="0"/>
      <w:sz w:val="20"/>
      <w:szCs w:val="20"/>
      <w:lang w:val="en-US" w:eastAsia="zh-CN" w:bidi="ar-SA"/>
    </w:rPr>
  </w:style>
  <w:style w:type="paragraph" w:customStyle="1" w:styleId="12">
    <w:name w:val="UserStyle_1"/>
    <w:basedOn w:val="1"/>
    <w:next w:val="1"/>
    <w:qFormat/>
    <w:uiPriority w:val="0"/>
    <w:pPr>
      <w:spacing w:after="120"/>
      <w:ind w:left="200" w:leftChars="200"/>
      <w:textAlignment w:val="baseline"/>
    </w:pPr>
    <w:rPr>
      <w:rFonts w:cs="Times New Roman"/>
    </w:rPr>
  </w:style>
  <w:style w:type="character" w:customStyle="1" w:styleId="13">
    <w:name w:val="NormalCharacter"/>
    <w:link w:val="11"/>
    <w:qFormat/>
    <w:uiPriority w:val="0"/>
    <w:rPr>
      <w:rFonts w:ascii="Calibri" w:hAnsi="Calibri" w:eastAsia="宋体" w:cs="宋体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4828</Words>
  <Characters>4927</Characters>
  <Lines>0</Lines>
  <Paragraphs>0</Paragraphs>
  <TotalTime>184</TotalTime>
  <ScaleCrop>false</ScaleCrop>
  <LinksUpToDate>false</LinksUpToDate>
  <CharactersWithSpaces>4927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2025-08-11T00:47:00Z</dcterms:created>
  <dc:creator>谢文英</dc:creator>
  <cp:lastModifiedBy>Administrator</cp:lastModifiedBy>
  <cp:lastPrinted>2026-03-27T08:42:00Z</cp:lastPrinted>
  <dcterms:modified xsi:type="dcterms:W3CDTF">2026-03-31T01:54:08Z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02EB5CF135E840D1A142F50418621230_13</vt:lpwstr>
  </property>
  <property fmtid="{D5CDD505-2E9C-101B-9397-08002B2CF9AE}" pid="4" name="KSOTemplateDocerSaveRecord">
    <vt:lpwstr>eyJoZGlkIjoiMDYwMmNhYWFjMmM0NDkyOWVmY2U4MzgyNzY5YjBkMjYiLCJ1c2VySWQiOiI0MDIzMTI5MjQifQ==</vt:lpwstr>
  </property>
</Properties>
</file>